
<file path=[Content_Types].xml><?xml version="1.0" encoding="utf-8"?>
<Types xmlns="http://schemas.openxmlformats.org/package/2006/content-types">
  <Default Extension="rels" ContentType="application/vnd.openxmlformats-package.relationships+xml"/>
  <Default Extension="jpeg" ContentType="image/jpeg"/>
  <Default Extension="png" ContentType="image/png"/>
  <Default Extension="svg" ContentType="image/svg+xml"/>
  <Default Extension="xml" ContentType="application/xml"/>
  <Default Extension="jpg" ContentType="application/octet-stream"/>
  <Override PartName="/_rels/.rels" ContentType="application/vnd.openxmlformats-package.relationship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word/settings.xml" ContentType="application/vnd.openxmlformats-officedocument.wordprocessingml.settings+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a="http://schemas.openxmlformats.org/drawingml/2006/main" xmlns:cdr="http://schemas.openxmlformats.org/drawingml/2006/chartDrawing" xmlns:o="urn:schemas-microsoft-com:office:office" xmlns:pic="http://schemas.openxmlformats.org/drawingml/2006/picture" xmlns:r="http://schemas.openxmlformats.org/officeDocument/2006/relationships" xmlns:m="http://schemas.openxmlformats.org/officeDocument/2006/math" xmlns:v="urn:schemas-microsoft-com:vml" xmlns:ve="http://schemas.openxmlformats.org/markup-compatibility/2006" xmlns:vt="http://schemas.openxmlformats.org/officeDocument/2006/docPropsVTypes" xmlns:w="http://schemas.openxmlformats.org/wordprocessingml/2006/main" xmlns:w10="urn:schemas-microsoft-com:office:word" xmlns:wp="http://schemas.openxmlformats.org/drawingml/2006/wordprocessingDrawing" xmlns:wne="http://schemas.microsoft.com/office/word/2006/wordml" xmlns:a14="http://schemas.microsoft.com/office/drawing/2010/main" xmlns:asvg="http://schemas.microsoft.com/office/drawing/2016/SVG/main">
  <w:body>
    <w:p>
      <w:pPr>
        <w:spacing w:line="360" w:after="0" w:lineRule="auto"/>
      </w:pPr>
      <w:r>
        <w:rPr>
          <w:rFonts w:eastAsia="inter" w:cs="inter" w:ascii="inter" w:hAnsi="inter"/>
          <w:color w:val="000000"/>
        </w:rPr>
        <w:drawing>
          <wp:inline distB="0" distL="0" distR="0" distT="0">
            <wp:extent cx="1143000" cy="287909"/>
            <wp:effectExtent b="0" l="0" r="0" t="0"/>
            <wp:docPr id="1" name="image-79b070698a03123306c1f6a3324ce2af95743698.png"/>
            <a:graphic>
              <a:graphicData uri="http://schemas.openxmlformats.org/drawingml/2006/picture">
                <pic:pic>
                  <pic:nvPicPr>
                    <pic:cNvPr id="1" name="image-79b070698a03123306c1f6a3324ce2af95743698.png" descr=""/>
                    <pic:cNvPicPr/>
                  </pic:nvPicPr>
                  <pic:blipFill>
                    <a:blip r:embed="rId5" cstate="print"/>
                    <a:srcRect b="0" l="0" r="0" t="0"/>
                    <a:stretch>
                      <a:fillRect/>
                    </a:stretch>
                  </pic:blipFill>
                  <pic:spPr>
                    <a:xfrm>
                      <a:off x="0" y="0"/>
                      <a:ext cx="1143000" cy="287909"/>
                    </a:xfrm>
                    <a:prstGeom prst="rect"/>
                  </pic:spPr>
                </pic:pic>
              </a:graphicData>
            </a:graphic>
          </wp:inline>
        </w:drawing>
      </w:r>
    </w:p>
    <w:p>
      <w:pPr>
        <w:spacing w:line="270" w:before="157.5" w:after="157.5" w:lineRule="auto"/>
        <w:jc w:val="left"/>
      </w:pPr>
      <w:r>
        <w:rPr>
          <w:rFonts w:eastAsia="inter" w:cs="inter" w:ascii="inter" w:hAnsi="inter"/>
          <w:b/>
          <w:color w:val="000000"/>
          <w:sz w:val="39"/>
        </w:rPr>
        <w:t xml:space="preserve">Modern B&amp;R Proposal: Maintaining Format Diversity and Health</w:t>
      </w:r>
    </w:p>
    <w:p>
      <w:pPr>
        <w:spacing w:line="360" w:after="210" w:lineRule="auto"/>
      </w:pPr>
      <w:r>
        <w:rPr>
          <w:rFonts w:eastAsia="inter" w:cs="inter" w:ascii="inter" w:hAnsi="inter"/>
          <w:color w:val="000000"/>
        </w:rPr>
        <w:t xml:space="preserve">Based on comprehensive analysis of the current Modern metagame and historical banning precedents, I propose the following changes to address format imbalances while promoting healthy diversity.</w:t>
      </w:r>
    </w:p>
    <w:p>
      <w:pPr>
        <w:spacing w:line="360" w:before="315" w:after="105" w:lineRule="auto"/>
        <w:ind w:left="-30"/>
        <w:jc w:val="left"/>
      </w:pPr>
      <w:r>
        <w:rPr>
          <w:rFonts w:eastAsia="inter" w:cs="inter" w:ascii="inter" w:hAnsi="inter"/>
          <w:b/>
          <w:color w:val="000000"/>
          <w:sz w:val="24"/>
        </w:rPr>
        <w:t xml:space="preserve">Current Format Assessment</w:t>
      </w:r>
    </w:p>
    <w:p>
      <w:pPr>
        <w:spacing w:line="360" w:after="210" w:lineRule="auto"/>
      </w:pPr>
      <w:r>
        <w:rPr>
          <w:rFonts w:eastAsia="inter" w:cs="inter" w:ascii="inter" w:hAnsi="inter"/>
          <w:color w:val="000000"/>
        </w:rPr>
        <w:t xml:space="preserve">The Modern format currently exhibits concerning concentration around specific archetypes. </w:t>
      </w:r>
      <w:r>
        <w:rPr>
          <w:rFonts w:eastAsia="inter" w:cs="inter" w:ascii="inter" w:hAnsi="inter"/>
          <w:b/>
          <w:color w:val="000000"/>
        </w:rPr>
        <w:t xml:space="preserve">Boros Energy dominates with over 15% metagame share</w:t>
      </w:r>
      <w:bookmarkStart w:id="0" w:name="fnref1"/>
      <w:bookmarkEnd w:id="0"/>
      <w:hyperlink w:anchor="fn1">
        <w:r>
          <w:rPr>
            <w:rFonts w:eastAsia="inter" w:cs="inter" w:ascii="inter" w:hAnsi="inter"/>
            <w:color w:val="#000"/>
            <w:u w:val="single"/>
            <w:vertAlign w:val="superscript"/>
          </w:rPr>
          <w:t xml:space="preserve">[1]</w:t>
        </w:r>
      </w:hyperlink>
      <w:bookmarkStart w:id="1" w:name="fnref2"/>
      <w:bookmarkEnd w:id="1"/>
      <w:hyperlink w:anchor="fn2">
        <w:r>
          <w:rPr>
            <w:rFonts w:eastAsia="inter" w:cs="inter" w:ascii="inter" w:hAnsi="inter"/>
            <w:color w:val="#000"/>
            <w:u w:val="single"/>
            <w:vertAlign w:val="superscript"/>
          </w:rPr>
          <w:t xml:space="preserve">[2]</w:t>
        </w:r>
      </w:hyperlink>
      <w:bookmarkStart w:id="2" w:name="fnref3"/>
      <w:bookmarkEnd w:id="2"/>
      <w:hyperlink w:anchor="fn3">
        <w:r>
          <w:rPr>
            <w:rFonts w:eastAsia="inter" w:cs="inter" w:ascii="inter" w:hAnsi="inter"/>
            <w:color w:val="#000"/>
            <w:u w:val="single"/>
            <w:vertAlign w:val="superscript"/>
          </w:rPr>
          <w:t xml:space="preserve">[3]</w:t>
        </w:r>
      </w:hyperlink>
      <w:r>
        <w:rPr>
          <w:rFonts w:eastAsia="inter" w:cs="inter" w:ascii="inter" w:hAnsi="inter"/>
          <w:color w:val="000000"/>
        </w:rPr>
        <w:t xml:space="preserve">, making it the clear "best deck" despite previous bans of Amped Raptor</w:t>
      </w:r>
      <w:bookmarkStart w:id="3" w:name="fnref4"/>
      <w:bookmarkEnd w:id="3"/>
      <w:hyperlink w:anchor="fn4">
        <w:r>
          <w:rPr>
            <w:rFonts w:eastAsia="inter" w:cs="inter" w:ascii="inter" w:hAnsi="inter"/>
            <w:color w:val="#000"/>
            <w:u w:val="single"/>
            <w:vertAlign w:val="superscript"/>
          </w:rPr>
          <w:t xml:space="preserve">[4]</w:t>
        </w:r>
      </w:hyperlink>
      <w:r>
        <w:rPr>
          <w:rFonts w:eastAsia="inter" w:cs="inter" w:ascii="inter" w:hAnsi="inter"/>
          <w:color w:val="000000"/>
        </w:rPr>
        <w:t xml:space="preserve">. Following the March 2025 ban of Underworld Breach</w:t>
      </w:r>
      <w:bookmarkStart w:id="4" w:name="fnref5"/>
      <w:bookmarkEnd w:id="4"/>
      <w:hyperlink w:anchor="fn5">
        <w:r>
          <w:rPr>
            <w:rFonts w:eastAsia="inter" w:cs="inter" w:ascii="inter" w:hAnsi="inter"/>
            <w:color w:val="#000"/>
            <w:u w:val="single"/>
            <w:vertAlign w:val="superscript"/>
          </w:rPr>
          <w:t xml:space="preserve">[5]</w:t>
        </w:r>
      </w:hyperlink>
      <w:r>
        <w:rPr>
          <w:rFonts w:eastAsia="inter" w:cs="inter" w:ascii="inter" w:hAnsi="inter"/>
          <w:color w:val="000000"/>
        </w:rPr>
        <w:t xml:space="preserve">, the format has seen some diversification, but problematic patterns persist.</w:t>
      </w:r>
    </w:p>
    <w:p>
      <w:pPr>
        <w:spacing w:line="360" w:after="210" w:lineRule="auto"/>
      </w:pPr>
      <w:r>
        <w:rPr>
          <w:rFonts w:eastAsia="inter" w:cs="inter" w:ascii="inter" w:hAnsi="inter"/>
          <w:color w:val="000000"/>
        </w:rPr>
        <w:t xml:space="preserve">The top-tier metagame consists of</w:t>
      </w:r>
      <w:bookmarkStart w:id="5" w:name="fnref1:1"/>
      <w:bookmarkEnd w:id="5"/>
      <w:hyperlink w:anchor="fn1">
        <w:r>
          <w:rPr>
            <w:rFonts w:eastAsia="inter" w:cs="inter" w:ascii="inter" w:hAnsi="inter"/>
            <w:color w:val="#000"/>
            <w:u w:val="single"/>
            <w:vertAlign w:val="superscript"/>
          </w:rPr>
          <w:t xml:space="preserve">[1]</w:t>
        </w:r>
      </w:hyperlink>
      <w:bookmarkStart w:id="6" w:name="fnref2:1"/>
      <w:bookmarkEnd w:id="6"/>
      <w:hyperlink w:anchor="fn2">
        <w:r>
          <w:rPr>
            <w:rFonts w:eastAsia="inter" w:cs="inter" w:ascii="inter" w:hAnsi="inter"/>
            <w:color w:val="#000"/>
            <w:u w:val="single"/>
            <w:vertAlign w:val="superscript"/>
          </w:rPr>
          <w:t xml:space="preserve">[2]</w:t>
        </w:r>
      </w:hyperlink>
      <w:r>
        <w:rPr>
          <w:rFonts w:eastAsia="inter" w:cs="inter" w:ascii="inter" w:hAnsi="inter"/>
          <w:color w:val="000000"/>
        </w:rPr>
        <w:t xml:space="preserve">:</w:t>
      </w:r>
    </w:p>
    <w:p>
      <w:pPr>
        <w:numPr>
          <w:ilvl w:val="0"/>
          <w:numId w:val="1"/>
        </w:numPr>
        <w:spacing w:line="360" w:before="105" w:after="105" w:lineRule="auto"/>
      </w:pPr>
      <w:r>
        <w:rPr>
          <w:rFonts w:eastAsia="inter" w:cs="inter" w:ascii="inter" w:hAnsi="inter"/>
          <w:color w:val="000000"/>
          <w:sz w:val="21"/>
        </w:rPr>
        <w:t xml:space="preserve">Boros Energy (15.4%)</w:t>
      </w:r>
    </w:p>
    <w:p>
      <w:pPr>
        <w:numPr>
          <w:ilvl w:val="0"/>
          <w:numId w:val="1"/>
        </w:numPr>
        <w:spacing w:line="360" w:before="105" w:after="105" w:lineRule="auto"/>
      </w:pPr>
      <w:r>
        <w:rPr>
          <w:rFonts w:eastAsia="inter" w:cs="inter" w:ascii="inter" w:hAnsi="inter"/>
          <w:color w:val="000000"/>
          <w:sz w:val="21"/>
        </w:rPr>
        <w:t xml:space="preserve">Izzet Prowess (9.7%)</w:t>
      </w:r>
    </w:p>
    <w:p>
      <w:pPr>
        <w:numPr>
          <w:ilvl w:val="0"/>
          <w:numId w:val="1"/>
        </w:numPr>
        <w:spacing w:line="360" w:before="105" w:after="105" w:lineRule="auto"/>
      </w:pPr>
      <w:r>
        <w:rPr>
          <w:rFonts w:eastAsia="inter" w:cs="inter" w:ascii="inter" w:hAnsi="inter"/>
          <w:color w:val="000000"/>
          <w:sz w:val="21"/>
        </w:rPr>
        <w:t xml:space="preserve">Eldrazi Ramp (8.7%)</w:t>
      </w:r>
    </w:p>
    <w:p>
      <w:pPr>
        <w:numPr>
          <w:ilvl w:val="0"/>
          <w:numId w:val="1"/>
        </w:numPr>
        <w:spacing w:line="360" w:before="105" w:after="105" w:lineRule="auto"/>
      </w:pPr>
      <w:r>
        <w:rPr>
          <w:rFonts w:eastAsia="inter" w:cs="inter" w:ascii="inter" w:hAnsi="inter"/>
          <w:color w:val="000000"/>
          <w:sz w:val="21"/>
        </w:rPr>
        <w:t xml:space="preserve">Dimir Frog (6.4%)</w:t>
      </w:r>
    </w:p>
    <w:p>
      <w:pPr>
        <w:numPr>
          <w:ilvl w:val="0"/>
          <w:numId w:val="1"/>
        </w:numPr>
        <w:spacing w:line="360" w:before="105" w:after="105" w:lineRule="auto"/>
      </w:pPr>
      <w:r>
        <w:rPr>
          <w:rFonts w:eastAsia="inter" w:cs="inter" w:ascii="inter" w:hAnsi="inter"/>
          <w:color w:val="000000"/>
          <w:sz w:val="21"/>
        </w:rPr>
        <w:t xml:space="preserve">Orzhov Blink (4.4%)</w:t>
      </w:r>
    </w:p>
    <w:p>
      <w:pPr>
        <w:numPr>
          <w:ilvl w:val="0"/>
          <w:numId w:val="1"/>
        </w:numPr>
        <w:spacing w:line="360" w:before="105" w:after="105" w:lineRule="auto"/>
      </w:pPr>
      <w:r>
        <w:rPr>
          <w:rFonts w:eastAsia="inter" w:cs="inter" w:ascii="inter" w:hAnsi="inter"/>
          <w:color w:val="000000"/>
          <w:sz w:val="21"/>
        </w:rPr>
        <w:t xml:space="preserve">Domain Zoo (4.4%)</w:t>
      </w:r>
    </w:p>
    <w:p>
      <w:pPr>
        <w:spacing w:line="360" w:after="210" w:lineRule="auto"/>
      </w:pPr>
      <w:r>
        <w:rPr>
          <w:rFonts w:eastAsia="inter" w:cs="inter" w:ascii="inter" w:hAnsi="inter"/>
          <w:color w:val="000000"/>
        </w:rPr>
        <w:t xml:space="preserve">While this appears diverse, </w:t>
      </w:r>
      <w:r>
        <w:rPr>
          <w:rFonts w:eastAsia="inter" w:cs="inter" w:ascii="inter" w:hAnsi="inter"/>
          <w:b/>
          <w:color w:val="000000"/>
        </w:rPr>
        <w:t xml:space="preserve">Boros Energy remains the only deck exceeding 10% representation</w:t>
      </w:r>
      <w:bookmarkStart w:id="7" w:name="fnref3:1"/>
      <w:bookmarkEnd w:id="7"/>
      <w:hyperlink w:anchor="fn3">
        <w:r>
          <w:rPr>
            <w:rFonts w:eastAsia="inter" w:cs="inter" w:ascii="inter" w:hAnsi="inter"/>
            <w:color w:val="#000"/>
            <w:u w:val="single"/>
            <w:vertAlign w:val="superscript"/>
          </w:rPr>
          <w:t xml:space="preserve">[3]</w:t>
        </w:r>
      </w:hyperlink>
      <w:r>
        <w:rPr>
          <w:rFonts w:eastAsia="inter" w:cs="inter" w:ascii="inter" w:hAnsi="inter"/>
          <w:color w:val="000000"/>
        </w:rPr>
        <w:t xml:space="preserve">, suggesting an unhealthy concentration that limits competitive options.</w:t>
      </w:r>
    </w:p>
    <w:p>
      <w:pPr>
        <w:spacing w:line="360" w:before="315" w:after="105" w:lineRule="auto"/>
        <w:ind w:left="-30"/>
        <w:jc w:val="left"/>
      </w:pPr>
      <w:r>
        <w:rPr>
          <w:rFonts w:eastAsia="inter" w:cs="inter" w:ascii="inter" w:hAnsi="inter"/>
          <w:b/>
          <w:color w:val="000000"/>
          <w:sz w:val="24"/>
        </w:rPr>
        <w:t xml:space="preserve">Proposed Bans</w:t>
      </w:r>
    </w:p>
    <w:p>
      <w:pPr>
        <w:spacing w:line="360" w:before="315" w:after="105" w:lineRule="auto"/>
        <w:ind w:left="-30"/>
        <w:jc w:val="left"/>
      </w:pPr>
      <w:r>
        <w:rPr>
          <w:rFonts w:eastAsia="inter" w:cs="inter" w:ascii="inter" w:hAnsi="inter"/>
          <w:b/>
          <w:color w:val="000000"/>
          <w:sz w:val="24"/>
        </w:rPr>
        <w:t xml:space="preserve">Ocelot Pride</w:t>
      </w:r>
    </w:p>
    <w:p>
      <w:pPr>
        <w:spacing w:line="360" w:after="210" w:lineRule="auto"/>
      </w:pPr>
      <w:r>
        <w:rPr>
          <w:rFonts w:eastAsia="inter" w:cs="inter" w:ascii="inter" w:hAnsi="inter"/>
          <w:b/>
          <w:color w:val="000000"/>
        </w:rPr>
        <w:t xml:space="preserve">Primary Target: Address Boros Energy Dominance</w:t>
      </w:r>
    </w:p>
    <w:p>
      <w:pPr>
        <w:spacing w:line="360" w:after="210" w:lineRule="auto"/>
      </w:pPr>
      <w:r>
        <w:rPr>
          <w:rFonts w:eastAsia="inter" w:cs="inter" w:ascii="inter" w:hAnsi="inter"/>
          <w:color w:val="000000"/>
        </w:rPr>
        <w:t xml:space="preserve">Ocelot Pride represents the core engine driving Boros Energy's oppressive consistency</w:t>
      </w:r>
      <w:bookmarkStart w:id="8" w:name="fnref6"/>
      <w:bookmarkEnd w:id="8"/>
      <w:hyperlink w:anchor="fn6">
        <w:r>
          <w:rPr>
            <w:rFonts w:eastAsia="inter" w:cs="inter" w:ascii="inter" w:hAnsi="inter"/>
            <w:color w:val="#000"/>
            <w:u w:val="single"/>
            <w:vertAlign w:val="superscript"/>
          </w:rPr>
          <w:t xml:space="preserve">[6]</w:t>
        </w:r>
      </w:hyperlink>
      <w:bookmarkStart w:id="9" w:name="fnref7"/>
      <w:bookmarkEnd w:id="9"/>
      <w:hyperlink w:anchor="fn7">
        <w:r>
          <w:rPr>
            <w:rFonts w:eastAsia="inter" w:cs="inter" w:ascii="inter" w:hAnsi="inter"/>
            <w:color w:val="#000"/>
            <w:u w:val="single"/>
            <w:vertAlign w:val="superscript"/>
          </w:rPr>
          <w:t xml:space="preserve">[7]</w:t>
        </w:r>
      </w:hyperlink>
      <w:r>
        <w:rPr>
          <w:rFonts w:eastAsia="inter" w:cs="inter" w:ascii="inter" w:hAnsi="inter"/>
          <w:color w:val="000000"/>
        </w:rPr>
        <w:t xml:space="preserve">. This 1/1 Cat has fundamentally warped aggressive strategies by providing:</w:t>
      </w:r>
    </w:p>
    <w:p>
      <w:pPr>
        <w:numPr>
          <w:ilvl w:val="0"/>
          <w:numId w:val="2"/>
        </w:numPr>
        <w:spacing w:line="360" w:before="105" w:after="105" w:lineRule="auto"/>
      </w:pPr>
      <w:r>
        <w:rPr>
          <w:rFonts w:eastAsia="inter" w:cs="inter" w:ascii="inter" w:hAnsi="inter"/>
          <w:b/>
          <w:color w:val="000000"/>
          <w:sz w:val="21"/>
        </w:rPr>
        <w:t xml:space="preserve">Excessive Value Generation</w:t>
      </w:r>
      <w:r>
        <w:rPr>
          <w:rFonts w:eastAsia="inter" w:cs="inter" w:ascii="inter" w:hAnsi="inter"/>
          <w:color w:val="000000"/>
          <w:sz w:val="21"/>
        </w:rPr>
        <w:t xml:space="preserve">: Creating 1/1 Cat tokens whenever you gain life, with no "once per turn" restriction</w:t>
      </w:r>
      <w:bookmarkStart w:id="10" w:name="fnref6:1"/>
      <w:bookmarkEnd w:id="10"/>
      <w:hyperlink w:anchor="fn6">
        <w:r>
          <w:rPr>
            <w:rFonts w:eastAsia="inter" w:cs="inter" w:ascii="inter" w:hAnsi="inter"/>
            <w:color w:val="#000"/>
            <w:sz w:val="21"/>
            <w:u w:val="single"/>
            <w:vertAlign w:val="superscript"/>
          </w:rPr>
          <w:t xml:space="preserve">[6]</w:t>
        </w:r>
      </w:hyperlink>
    </w:p>
    <w:p>
      <w:pPr>
        <w:numPr>
          <w:ilvl w:val="0"/>
          <w:numId w:val="2"/>
        </w:numPr>
        <w:spacing w:line="360" w:before="105" w:after="105" w:lineRule="auto"/>
      </w:pPr>
      <w:r>
        <w:rPr>
          <w:rFonts w:eastAsia="inter" w:cs="inter" w:ascii="inter" w:hAnsi="inter"/>
          <w:b/>
          <w:color w:val="000000"/>
          <w:sz w:val="21"/>
        </w:rPr>
        <w:t xml:space="preserve">Synergistic Overload</w:t>
      </w:r>
      <w:r>
        <w:rPr>
          <w:rFonts w:eastAsia="inter" w:cs="inter" w:ascii="inter" w:hAnsi="inter"/>
          <w:color w:val="000000"/>
          <w:sz w:val="21"/>
        </w:rPr>
        <w:t xml:space="preserve">: Perfect integration with Ajani, Nacatl Pariah, Guide of Souls, and Phlage</w:t>
      </w:r>
      <w:bookmarkStart w:id="11" w:name="fnref3:2"/>
      <w:bookmarkEnd w:id="11"/>
      <w:hyperlink w:anchor="fn3">
        <w:r>
          <w:rPr>
            <w:rFonts w:eastAsia="inter" w:cs="inter" w:ascii="inter" w:hAnsi="inter"/>
            <w:color w:val="#000"/>
            <w:sz w:val="21"/>
            <w:u w:val="single"/>
            <w:vertAlign w:val="superscript"/>
          </w:rPr>
          <w:t xml:space="preserve">[3]</w:t>
        </w:r>
      </w:hyperlink>
      <w:bookmarkStart w:id="12" w:name="fnref7:1"/>
      <w:bookmarkEnd w:id="12"/>
      <w:hyperlink w:anchor="fn7">
        <w:r>
          <w:rPr>
            <w:rFonts w:eastAsia="inter" w:cs="inter" w:ascii="inter" w:hAnsi="inter"/>
            <w:color w:val="#000"/>
            <w:sz w:val="21"/>
            <w:u w:val="single"/>
            <w:vertAlign w:val="superscript"/>
          </w:rPr>
          <w:t xml:space="preserve">[7]</w:t>
        </w:r>
      </w:hyperlink>
    </w:p>
    <w:p>
      <w:pPr>
        <w:numPr>
          <w:ilvl w:val="0"/>
          <w:numId w:val="2"/>
        </w:numPr>
        <w:spacing w:line="360" w:before="105" w:after="105" w:lineRule="auto"/>
      </w:pPr>
      <w:r>
        <w:rPr>
          <w:rFonts w:eastAsia="inter" w:cs="inter" w:ascii="inter" w:hAnsi="inter"/>
          <w:b/>
          <w:color w:val="000000"/>
          <w:sz w:val="21"/>
        </w:rPr>
        <w:t xml:space="preserve">Format Centralization</w:t>
      </w:r>
      <w:r>
        <w:rPr>
          <w:rFonts w:eastAsia="inter" w:cs="inter" w:ascii="inter" w:hAnsi="inter"/>
          <w:color w:val="000000"/>
          <w:sz w:val="21"/>
        </w:rPr>
        <w:t xml:space="preserve">: Pushing Ragavan, Nimble Pilferer out of aggressive decks</w:t>
      </w:r>
      <w:bookmarkStart w:id="13" w:name="fnref6:2"/>
      <w:bookmarkEnd w:id="13"/>
      <w:hyperlink w:anchor="fn6">
        <w:r>
          <w:rPr>
            <w:rFonts w:eastAsia="inter" w:cs="inter" w:ascii="inter" w:hAnsi="inter"/>
            <w:color w:val="#000"/>
            <w:sz w:val="21"/>
            <w:u w:val="single"/>
            <w:vertAlign w:val="superscript"/>
          </w:rPr>
          <w:t xml:space="preserve">[6]</w:t>
        </w:r>
      </w:hyperlink>
    </w:p>
    <w:p>
      <w:pPr>
        <w:spacing w:line="360" w:after="210" w:lineRule="auto"/>
      </w:pPr>
      <w:r>
        <w:rPr>
          <w:rFonts w:eastAsia="inter" w:cs="inter" w:ascii="inter" w:hAnsi="inter"/>
          <w:color w:val="000000"/>
        </w:rPr>
        <w:t xml:space="preserve">The card's </w:t>
      </w:r>
      <w:r>
        <w:rPr>
          <w:rFonts w:eastAsia="inter" w:cs="inter" w:ascii="inter" w:hAnsi="inter"/>
          <w:b/>
          <w:color w:val="000000"/>
        </w:rPr>
        <w:t xml:space="preserve">price spike from $20 to $60 in 24 hours</w:t>
      </w:r>
      <w:bookmarkStart w:id="14" w:name="fnref8"/>
      <w:bookmarkEnd w:id="14"/>
      <w:hyperlink w:anchor="fn8">
        <w:r>
          <w:rPr>
            <w:rFonts w:eastAsia="inter" w:cs="inter" w:ascii="inter" w:hAnsi="inter"/>
            <w:color w:val="#000"/>
            <w:u w:val="single"/>
            <w:vertAlign w:val="superscript"/>
          </w:rPr>
          <w:t xml:space="preserve">[8]</w:t>
        </w:r>
      </w:hyperlink>
      <w:r>
        <w:rPr>
          <w:rFonts w:eastAsia="inter" w:cs="inter" w:ascii="inter" w:hAnsi="inter"/>
          <w:color w:val="000000"/>
        </w:rPr>
        <w:t xml:space="preserve"> demonstrates its format-warping impact. Its ascend ability becomes "quite broken" when combined with token generation from other sources</w:t>
      </w:r>
      <w:bookmarkStart w:id="15" w:name="fnref7:2"/>
      <w:bookmarkEnd w:id="15"/>
      <w:hyperlink w:anchor="fn7">
        <w:r>
          <w:rPr>
            <w:rFonts w:eastAsia="inter" w:cs="inter" w:ascii="inter" w:hAnsi="inter"/>
            <w:color w:val="#000"/>
            <w:u w:val="single"/>
            <w:vertAlign w:val="superscript"/>
          </w:rPr>
          <w:t xml:space="preserve">[7]</w:t>
        </w:r>
      </w:hyperlink>
      <w:r>
        <w:rPr>
          <w:rFonts w:eastAsia="inter" w:cs="inter" w:ascii="inter" w:hAnsi="inter"/>
          <w:color w:val="000000"/>
        </w:rPr>
        <w:t xml:space="preserve">, creating snowball effects that are difficult for opponents to answer.</w:t>
      </w:r>
    </w:p>
    <w:p>
      <w:pPr>
        <w:spacing w:line="360" w:after="210" w:lineRule="auto"/>
      </w:pPr>
      <w:r>
        <w:rPr>
          <w:rFonts w:eastAsia="inter" w:cs="inter" w:ascii="inter" w:hAnsi="inter"/>
          <w:color w:val="000000"/>
        </w:rPr>
        <w:t xml:space="preserve">Banning Ocelot Pride follows established precedent of targeting enablers rather than entire strategies, similar to the Mox Opal ban that addressed Urza decks without eliminating artifacts entirely</w:t>
      </w:r>
      <w:bookmarkStart w:id="16" w:name="fnref9"/>
      <w:bookmarkEnd w:id="16"/>
      <w:hyperlink w:anchor="fn9">
        <w:r>
          <w:rPr>
            <w:rFonts w:eastAsia="inter" w:cs="inter" w:ascii="inter" w:hAnsi="inter"/>
            <w:color w:val="#000"/>
            <w:u w:val="single"/>
            <w:vertAlign w:val="superscript"/>
          </w:rPr>
          <w:t xml:space="preserve">[9]</w:t>
        </w:r>
      </w:hyperlink>
      <w:r>
        <w:rPr>
          <w:rFonts w:eastAsia="inter" w:cs="inter" w:ascii="inter" w:hAnsi="inter"/>
          <w:color w:val="000000"/>
        </w:rPr>
        <w:t xml:space="preserve">.</w:t>
      </w:r>
    </w:p>
    <w:p>
      <w:pPr>
        <w:spacing w:line="360" w:before="315" w:after="105" w:lineRule="auto"/>
        <w:ind w:left="-30"/>
        <w:jc w:val="left"/>
      </w:pPr>
      <w:r>
        <w:rPr>
          <w:rFonts w:eastAsia="inter" w:cs="inter" w:ascii="inter" w:hAnsi="inter"/>
          <w:b/>
          <w:color w:val="000000"/>
          <w:sz w:val="24"/>
        </w:rPr>
        <w:t xml:space="preserve">Blade of the Bloodchief</w:t>
      </w:r>
    </w:p>
    <w:p>
      <w:pPr>
        <w:spacing w:line="360" w:after="210" w:lineRule="auto"/>
      </w:pPr>
      <w:r>
        <w:rPr>
          <w:rFonts w:eastAsia="inter" w:cs="inter" w:ascii="inter" w:hAnsi="inter"/>
          <w:b/>
          <w:color w:val="000000"/>
        </w:rPr>
        <w:t xml:space="preserve">Secondary Target: Limit Degenerate Combo Potential</w:t>
      </w:r>
    </w:p>
    <w:p>
      <w:pPr>
        <w:spacing w:line="360" w:after="210" w:lineRule="auto"/>
      </w:pPr>
      <w:r>
        <w:rPr>
          <w:rFonts w:eastAsia="inter" w:cs="inter" w:ascii="inter" w:hAnsi="inter"/>
          <w:color w:val="000000"/>
        </w:rPr>
        <w:t xml:space="preserve">The emergence of </w:t>
      </w:r>
      <w:r>
        <w:rPr>
          <w:rFonts w:eastAsia="inter" w:cs="inter" w:ascii="inter" w:hAnsi="inter"/>
          <w:b/>
          <w:color w:val="000000"/>
        </w:rPr>
        <w:t xml:space="preserve">Basking Broodscale Combo as a legitimate threat</w:t>
      </w:r>
      <w:bookmarkStart w:id="17" w:name="fnref10"/>
      <w:bookmarkEnd w:id="17"/>
      <w:hyperlink w:anchor="fn10">
        <w:r>
          <w:rPr>
            <w:rFonts w:eastAsia="inter" w:cs="inter" w:ascii="inter" w:hAnsi="inter"/>
            <w:color w:val="#000"/>
            <w:u w:val="single"/>
            <w:vertAlign w:val="superscript"/>
          </w:rPr>
          <w:t xml:space="preserve">[10]</w:t>
        </w:r>
      </w:hyperlink>
      <w:bookmarkStart w:id="18" w:name="fnref11"/>
      <w:bookmarkEnd w:id="18"/>
      <w:hyperlink w:anchor="fn11">
        <w:r>
          <w:rPr>
            <w:rFonts w:eastAsia="inter" w:cs="inter" w:ascii="inter" w:hAnsi="inter"/>
            <w:color w:val="#000"/>
            <w:u w:val="single"/>
            <w:vertAlign w:val="superscript"/>
          </w:rPr>
          <w:t xml:space="preserve">[11]</w:t>
        </w:r>
      </w:hyperlink>
      <w:r>
        <w:rPr>
          <w:rFonts w:eastAsia="inter" w:cs="inter" w:ascii="inter" w:hAnsi="inter"/>
          <w:color w:val="000000"/>
        </w:rPr>
        <w:t xml:space="preserve"> demonstrates another problematic pattern. This deck achieves </w:t>
      </w:r>
      <w:r>
        <w:rPr>
          <w:rFonts w:eastAsia="inter" w:cs="inter" w:ascii="inter" w:hAnsi="inter"/>
          <w:b/>
          <w:color w:val="000000"/>
        </w:rPr>
        <w:t xml:space="preserve">turn 3 wins consistently</w:t>
      </w:r>
      <w:bookmarkStart w:id="19" w:name="fnref10:1"/>
      <w:bookmarkEnd w:id="19"/>
      <w:hyperlink w:anchor="fn10">
        <w:r>
          <w:rPr>
            <w:rFonts w:eastAsia="inter" w:cs="inter" w:ascii="inter" w:hAnsi="inter"/>
            <w:color w:val="#000"/>
            <w:u w:val="single"/>
            <w:vertAlign w:val="superscript"/>
          </w:rPr>
          <w:t xml:space="preserve">[10]</w:t>
        </w:r>
      </w:hyperlink>
      <w:r>
        <w:rPr>
          <w:rFonts w:eastAsia="inter" w:cs="inter" w:ascii="inter" w:hAnsi="inter"/>
          <w:color w:val="000000"/>
        </w:rPr>
        <w:t xml:space="preserve"> through the Basking Broodscale + Blade of the Bloodchief infinite combo.</w:t>
      </w:r>
    </w:p>
    <w:p>
      <w:pPr>
        <w:spacing w:line="360" w:after="210" w:lineRule="auto"/>
      </w:pPr>
      <w:r>
        <w:rPr>
          <w:rFonts w:eastAsia="inter" w:cs="inter" w:ascii="inter" w:hAnsi="inter"/>
          <w:color w:val="000000"/>
        </w:rPr>
        <w:t xml:space="preserve">Key concerns:</w:t>
      </w:r>
    </w:p>
    <w:p>
      <w:pPr>
        <w:numPr>
          <w:ilvl w:val="0"/>
          <w:numId w:val="3"/>
        </w:numPr>
        <w:spacing w:line="360" w:before="105" w:after="105" w:lineRule="auto"/>
      </w:pPr>
      <w:r>
        <w:rPr>
          <w:rFonts w:eastAsia="inter" w:cs="inter" w:ascii="inter" w:hAnsi="inter"/>
          <w:b/>
          <w:color w:val="000000"/>
          <w:sz w:val="21"/>
        </w:rPr>
        <w:t xml:space="preserve">Linear Gameplay</w:t>
      </w:r>
      <w:r>
        <w:rPr>
          <w:rFonts w:eastAsia="inter" w:cs="inter" w:ascii="inter" w:hAnsi="inter"/>
          <w:color w:val="000000"/>
          <w:sz w:val="21"/>
        </w:rPr>
        <w:t xml:space="preserve">: Creates non-interactive games where disruption timing is critical</w:t>
      </w:r>
    </w:p>
    <w:p>
      <w:pPr>
        <w:numPr>
          <w:ilvl w:val="0"/>
          <w:numId w:val="3"/>
        </w:numPr>
        <w:spacing w:line="360" w:before="105" w:after="105" w:lineRule="auto"/>
      </w:pPr>
      <w:r>
        <w:rPr>
          <w:rFonts w:eastAsia="inter" w:cs="inter" w:ascii="inter" w:hAnsi="inter"/>
          <w:b/>
          <w:color w:val="000000"/>
          <w:sz w:val="21"/>
        </w:rPr>
        <w:t xml:space="preserve">Scalability</w:t>
      </w:r>
      <w:r>
        <w:rPr>
          <w:rFonts w:eastAsia="inter" w:cs="inter" w:ascii="inter" w:hAnsi="inter"/>
          <w:color w:val="000000"/>
          <w:sz w:val="21"/>
        </w:rPr>
        <w:t xml:space="preserve">: Generates infinite colorless mana and tokens</w:t>
      </w:r>
      <w:bookmarkStart w:id="20" w:name="fnref12"/>
      <w:bookmarkEnd w:id="20"/>
      <w:hyperlink w:anchor="fn12">
        <w:r>
          <w:rPr>
            <w:rFonts w:eastAsia="inter" w:cs="inter" w:ascii="inter" w:hAnsi="inter"/>
            <w:color w:val="#000"/>
            <w:sz w:val="21"/>
            <w:u w:val="single"/>
            <w:vertAlign w:val="superscript"/>
          </w:rPr>
          <w:t xml:space="preserve">[12]</w:t>
        </w:r>
      </w:hyperlink>
    </w:p>
    <w:p>
      <w:pPr>
        <w:numPr>
          <w:ilvl w:val="0"/>
          <w:numId w:val="3"/>
        </w:numPr>
        <w:spacing w:line="360" w:before="105" w:after="105" w:lineRule="auto"/>
      </w:pPr>
      <w:r>
        <w:rPr>
          <w:rFonts w:eastAsia="inter" w:cs="inter" w:ascii="inter" w:hAnsi="inter"/>
          <w:b/>
          <w:color w:val="000000"/>
          <w:sz w:val="21"/>
        </w:rPr>
        <w:t xml:space="preserve">Format Pressure</w:t>
      </w:r>
      <w:r>
        <w:rPr>
          <w:rFonts w:eastAsia="inter" w:cs="inter" w:ascii="inter" w:hAnsi="inter"/>
          <w:color w:val="000000"/>
          <w:sz w:val="21"/>
        </w:rPr>
        <w:t xml:space="preserve">: Forces other decks to dedicate significant sideboard space to artifact removal</w:t>
      </w:r>
    </w:p>
    <w:p>
      <w:pPr>
        <w:spacing w:line="360" w:after="210" w:lineRule="auto"/>
      </w:pPr>
      <w:r>
        <w:rPr>
          <w:rFonts w:eastAsia="inter" w:cs="inter" w:ascii="inter" w:hAnsi="inter"/>
          <w:color w:val="000000"/>
        </w:rPr>
        <w:t xml:space="preserve">While the combo requires two specific pieces, the consistency tools available in Modern (Urza's Saga, Karn the Great Creator) make this more reliable than historical combo decks</w:t>
      </w:r>
      <w:bookmarkStart w:id="21" w:name="fnref10:2"/>
      <w:bookmarkEnd w:id="21"/>
      <w:hyperlink w:anchor="fn10">
        <w:r>
          <w:rPr>
            <w:rFonts w:eastAsia="inter" w:cs="inter" w:ascii="inter" w:hAnsi="inter"/>
            <w:color w:val="#000"/>
            <w:u w:val="single"/>
            <w:vertAlign w:val="superscript"/>
          </w:rPr>
          <w:t xml:space="preserve">[10]</w:t>
        </w:r>
      </w:hyperlink>
      <w:bookmarkStart w:id="22" w:name="fnref11:1"/>
      <w:bookmarkEnd w:id="22"/>
      <w:hyperlink w:anchor="fn11">
        <w:r>
          <w:rPr>
            <w:rFonts w:eastAsia="inter" w:cs="inter" w:ascii="inter" w:hAnsi="inter"/>
            <w:color w:val="#000"/>
            <w:u w:val="single"/>
            <w:vertAlign w:val="superscript"/>
          </w:rPr>
          <w:t xml:space="preserve">[11]</w:t>
        </w:r>
      </w:hyperlink>
      <w:r>
        <w:rPr>
          <w:rFonts w:eastAsia="inter" w:cs="inter" w:ascii="inter" w:hAnsi="inter"/>
          <w:color w:val="000000"/>
        </w:rPr>
        <w:t xml:space="preserve">.</w:t>
      </w:r>
    </w:p>
    <w:p>
      <w:pPr>
        <w:spacing w:line="360" w:before="315" w:after="105" w:lineRule="auto"/>
        <w:ind w:left="-30"/>
        <w:jc w:val="left"/>
      </w:pPr>
      <w:r>
        <w:rPr>
          <w:rFonts w:eastAsia="inter" w:cs="inter" w:ascii="inter" w:hAnsi="inter"/>
          <w:b/>
          <w:color w:val="000000"/>
          <w:sz w:val="24"/>
        </w:rPr>
        <w:t xml:space="preserve">Potential Unbans</w:t>
      </w:r>
    </w:p>
    <w:p>
      <w:pPr>
        <w:spacing w:line="360" w:before="315" w:after="105" w:lineRule="auto"/>
        <w:ind w:left="-30"/>
        <w:jc w:val="left"/>
      </w:pPr>
      <w:r>
        <w:rPr>
          <w:rFonts w:eastAsia="inter" w:cs="inter" w:ascii="inter" w:hAnsi="inter"/>
          <w:b/>
          <w:color w:val="000000"/>
          <w:sz w:val="24"/>
        </w:rPr>
        <w:t xml:space="preserve">Birthing Pod</w:t>
      </w:r>
    </w:p>
    <w:p>
      <w:pPr>
        <w:spacing w:line="360" w:after="210" w:lineRule="auto"/>
      </w:pPr>
      <w:r>
        <w:rPr>
          <w:rFonts w:eastAsia="inter" w:cs="inter" w:ascii="inter" w:hAnsi="inter"/>
          <w:b/>
          <w:color w:val="000000"/>
        </w:rPr>
        <w:t xml:space="preserve">Rationale: Safe in Current Power Level Environment</w:t>
      </w:r>
    </w:p>
    <w:p>
      <w:pPr>
        <w:spacing w:line="360" w:after="210" w:lineRule="auto"/>
      </w:pPr>
      <w:r>
        <w:rPr>
          <w:rFonts w:eastAsia="inter" w:cs="inter" w:ascii="inter" w:hAnsi="inter"/>
          <w:color w:val="000000"/>
        </w:rPr>
        <w:t xml:space="preserve">With Modern's elevated power level post-Modern Horizons sets, Birthing Pod appears significantly less threatening than when originally banned. Current considerations:</w:t>
      </w:r>
    </w:p>
    <w:p>
      <w:pPr>
        <w:numPr>
          <w:ilvl w:val="0"/>
          <w:numId w:val="4"/>
        </w:numPr>
        <w:spacing w:line="360" w:before="105" w:after="105" w:lineRule="auto"/>
      </w:pPr>
      <w:r>
        <w:rPr>
          <w:rFonts w:eastAsia="inter" w:cs="inter" w:ascii="inter" w:hAnsi="inter"/>
          <w:b/>
          <w:color w:val="000000"/>
          <w:sz w:val="21"/>
        </w:rPr>
        <w:t xml:space="preserve">Slower Clock</w:t>
      </w:r>
      <w:r>
        <w:rPr>
          <w:rFonts w:eastAsia="inter" w:cs="inter" w:ascii="inter" w:hAnsi="inter"/>
          <w:color w:val="000000"/>
          <w:sz w:val="21"/>
        </w:rPr>
        <w:t xml:space="preserve">: 4-mana investment competes with immediate threats like Phlage and energy strategies</w:t>
      </w:r>
    </w:p>
    <w:p>
      <w:pPr>
        <w:numPr>
          <w:ilvl w:val="0"/>
          <w:numId w:val="4"/>
        </w:numPr>
        <w:spacing w:line="360" w:before="105" w:after="105" w:lineRule="auto"/>
      </w:pPr>
      <w:r>
        <w:rPr>
          <w:rFonts w:eastAsia="inter" w:cs="inter" w:ascii="inter" w:hAnsi="inter"/>
          <w:b/>
          <w:color w:val="000000"/>
          <w:sz w:val="21"/>
        </w:rPr>
        <w:t xml:space="preserve">Vulnerable to Interaction</w:t>
      </w:r>
      <w:r>
        <w:rPr>
          <w:rFonts w:eastAsia="inter" w:cs="inter" w:ascii="inter" w:hAnsi="inter"/>
          <w:color w:val="000000"/>
          <w:sz w:val="21"/>
        </w:rPr>
        <w:t xml:space="preserve">: Requires creatures and time, easily disrupted by current removal suite</w:t>
      </w:r>
    </w:p>
    <w:p>
      <w:pPr>
        <w:numPr>
          <w:ilvl w:val="0"/>
          <w:numId w:val="4"/>
        </w:numPr>
        <w:spacing w:line="360" w:before="105" w:after="105" w:lineRule="auto"/>
      </w:pPr>
      <w:r>
        <w:rPr>
          <w:rFonts w:eastAsia="inter" w:cs="inter" w:ascii="inter" w:hAnsi="inter"/>
          <w:b/>
          <w:color w:val="000000"/>
          <w:sz w:val="21"/>
        </w:rPr>
        <w:t xml:space="preserve">Deck Diversity</w:t>
      </w:r>
      <w:r>
        <w:rPr>
          <w:rFonts w:eastAsia="inter" w:cs="inter" w:ascii="inter" w:hAnsi="inter"/>
          <w:color w:val="000000"/>
          <w:sz w:val="21"/>
        </w:rPr>
        <w:t xml:space="preserve">: Would enable midrange creature strategies currently unviable</w:t>
      </w:r>
    </w:p>
    <w:p>
      <w:pPr>
        <w:spacing w:line="360" w:after="210" w:lineRule="auto"/>
      </w:pPr>
      <w:r>
        <w:rPr>
          <w:rFonts w:eastAsia="inter" w:cs="inter" w:ascii="inter" w:hAnsi="inter"/>
          <w:color w:val="000000"/>
        </w:rPr>
        <w:t xml:space="preserve">The original ban reasoning cited concerns about "limiting creature design space"</w:t>
      </w:r>
      <w:bookmarkStart w:id="23" w:name="fnref13"/>
      <w:bookmarkEnd w:id="23"/>
      <w:hyperlink w:anchor="fn13">
        <w:r>
          <w:rPr>
            <w:rFonts w:eastAsia="inter" w:cs="inter" w:ascii="inter" w:hAnsi="inter"/>
            <w:color w:val="#000"/>
            <w:u w:val="single"/>
            <w:vertAlign w:val="superscript"/>
          </w:rPr>
          <w:t xml:space="preserve">[13]</w:t>
        </w:r>
      </w:hyperlink>
      <w:r>
        <w:rPr>
          <w:rFonts w:eastAsia="inter" w:cs="inter" w:ascii="inter" w:hAnsi="inter"/>
          <w:color w:val="000000"/>
        </w:rPr>
        <w:t xml:space="preserve">, but Modern Horizons sets have already pushed creature power levels beyond historical constraints.</w:t>
      </w:r>
    </w:p>
    <w:p>
      <w:pPr>
        <w:spacing w:line="360" w:before="315" w:after="105" w:lineRule="auto"/>
        <w:ind w:left="-30"/>
        <w:jc w:val="left"/>
      </w:pPr>
      <w:r>
        <w:rPr>
          <w:rFonts w:eastAsia="inter" w:cs="inter" w:ascii="inter" w:hAnsi="inter"/>
          <w:b/>
          <w:color w:val="000000"/>
          <w:sz w:val="24"/>
        </w:rPr>
        <w:t xml:space="preserve">Second Sunrise</w:t>
      </w:r>
    </w:p>
    <w:p>
      <w:pPr>
        <w:spacing w:line="360" w:after="210" w:lineRule="auto"/>
      </w:pPr>
      <w:r>
        <w:rPr>
          <w:rFonts w:eastAsia="inter" w:cs="inter" w:ascii="inter" w:hAnsi="inter"/>
          <w:b/>
          <w:color w:val="000000"/>
        </w:rPr>
        <w:t xml:space="preserve">Limited Application with Current Hate</w:t>
      </w:r>
    </w:p>
    <w:p>
      <w:pPr>
        <w:spacing w:line="360" w:after="210" w:lineRule="auto"/>
      </w:pPr>
      <w:r>
        <w:rPr>
          <w:rFonts w:eastAsia="inter" w:cs="inter" w:ascii="inter" w:hAnsi="inter"/>
          <w:color w:val="000000"/>
        </w:rPr>
        <w:t xml:space="preserve">While historically problematic due to tournament time concerns, current factors suggest reconsideration:</w:t>
      </w:r>
    </w:p>
    <w:p>
      <w:pPr>
        <w:numPr>
          <w:ilvl w:val="0"/>
          <w:numId w:val="5"/>
        </w:numPr>
        <w:spacing w:line="360" w:before="105" w:after="105" w:lineRule="auto"/>
      </w:pPr>
      <w:r>
        <w:rPr>
          <w:rFonts w:eastAsia="inter" w:cs="inter" w:ascii="inter" w:hAnsi="inter"/>
          <w:b/>
          <w:color w:val="000000"/>
          <w:sz w:val="21"/>
        </w:rPr>
        <w:t xml:space="preserve">Graveyard Hate Prevalence</w:t>
      </w:r>
      <w:r>
        <w:rPr>
          <w:rFonts w:eastAsia="inter" w:cs="inter" w:ascii="inter" w:hAnsi="inter"/>
          <w:color w:val="000000"/>
          <w:sz w:val="21"/>
        </w:rPr>
        <w:t xml:space="preserve">: Widespread inclusion of graveyard interaction limits abuse potential</w:t>
      </w:r>
    </w:p>
    <w:p>
      <w:pPr>
        <w:numPr>
          <w:ilvl w:val="0"/>
          <w:numId w:val="5"/>
        </w:numPr>
        <w:spacing w:line="360" w:before="105" w:after="105" w:lineRule="auto"/>
      </w:pPr>
      <w:r>
        <w:rPr>
          <w:rFonts w:eastAsia="inter" w:cs="inter" w:ascii="inter" w:hAnsi="inter"/>
          <w:b/>
          <w:color w:val="000000"/>
          <w:sz w:val="21"/>
        </w:rPr>
        <w:t xml:space="preserve">Clock Improvements</w:t>
      </w:r>
      <w:r>
        <w:rPr>
          <w:rFonts w:eastAsia="inter" w:cs="inter" w:ascii="inter" w:hAnsi="inter"/>
          <w:color w:val="000000"/>
          <w:sz w:val="21"/>
        </w:rPr>
        <w:t xml:space="preserve">: Digital implementation reduces time management issues</w:t>
      </w:r>
    </w:p>
    <w:p>
      <w:pPr>
        <w:numPr>
          <w:ilvl w:val="0"/>
          <w:numId w:val="5"/>
        </w:numPr>
        <w:spacing w:line="360" w:before="105" w:after="105" w:lineRule="auto"/>
      </w:pPr>
      <w:r>
        <w:rPr>
          <w:rFonts w:eastAsia="inter" w:cs="inter" w:ascii="inter" w:hAnsi="inter"/>
          <w:b/>
          <w:color w:val="000000"/>
          <w:sz w:val="21"/>
        </w:rPr>
        <w:t xml:space="preserve">Narrow Application</w:t>
      </w:r>
      <w:r>
        <w:rPr>
          <w:rFonts w:eastAsia="inter" w:cs="inter" w:ascii="inter" w:hAnsi="inter"/>
          <w:color w:val="000000"/>
          <w:sz w:val="21"/>
        </w:rPr>
        <w:t xml:space="preserve">: Limited to specific combo strategies unlikely to dominate</w:t>
      </w:r>
    </w:p>
    <w:p>
      <w:pPr>
        <w:spacing w:line="360" w:before="315" w:after="105" w:lineRule="auto"/>
        <w:ind w:left="-30"/>
        <w:jc w:val="left"/>
      </w:pPr>
      <w:r>
        <w:rPr>
          <w:rFonts w:eastAsia="inter" w:cs="inter" w:ascii="inter" w:hAnsi="inter"/>
          <w:b/>
          <w:color w:val="000000"/>
          <w:sz w:val="24"/>
        </w:rPr>
        <w:t xml:space="preserve">Justification and Philosophy</w:t>
      </w:r>
    </w:p>
    <w:p>
      <w:pPr>
        <w:spacing w:line="360" w:after="210" w:lineRule="auto"/>
      </w:pPr>
      <w:r>
        <w:rPr>
          <w:rFonts w:eastAsia="inter" w:cs="inter" w:ascii="inter" w:hAnsi="inter"/>
          <w:color w:val="000000"/>
        </w:rPr>
        <w:t xml:space="preserve">This proposal follows Wizards' established B&amp;R philosophy emphasizing </w:t>
      </w:r>
      <w:r>
        <w:rPr>
          <w:rFonts w:eastAsia="inter" w:cs="inter" w:ascii="inter" w:hAnsi="inter"/>
          <w:b/>
          <w:color w:val="000000"/>
        </w:rPr>
        <w:t xml:space="preserve">format diversity over raw power level suppression</w:t>
      </w:r>
      <w:bookmarkStart w:id="24" w:name="fnref14"/>
      <w:bookmarkEnd w:id="24"/>
      <w:hyperlink w:anchor="fn14">
        <w:r>
          <w:rPr>
            <w:rFonts w:eastAsia="inter" w:cs="inter" w:ascii="inter" w:hAnsi="inter"/>
            <w:color w:val="#000"/>
            <w:u w:val="single"/>
            <w:vertAlign w:val="superscript"/>
          </w:rPr>
          <w:t xml:space="preserve">[14]</w:t>
        </w:r>
      </w:hyperlink>
      <w:bookmarkStart w:id="25" w:name="fnref15"/>
      <w:bookmarkEnd w:id="25"/>
      <w:hyperlink w:anchor="fn15">
        <w:r>
          <w:rPr>
            <w:rFonts w:eastAsia="inter" w:cs="inter" w:ascii="inter" w:hAnsi="inter"/>
            <w:color w:val="#000"/>
            <w:u w:val="single"/>
            <w:vertAlign w:val="superscript"/>
          </w:rPr>
          <w:t xml:space="preserve">[15]</w:t>
        </w:r>
      </w:hyperlink>
      <w:r>
        <w:rPr>
          <w:rFonts w:eastAsia="inter" w:cs="inter" w:ascii="inter" w:hAnsi="inter"/>
          <w:color w:val="000000"/>
        </w:rPr>
        <w:t xml:space="preserve">. The bans target cards that create </w:t>
      </w:r>
      <w:r>
        <w:rPr>
          <w:rFonts w:eastAsia="inter" w:cs="inter" w:ascii="inter" w:hAnsi="inter"/>
          <w:b/>
          <w:color w:val="000000"/>
        </w:rPr>
        <w:t xml:space="preserve">homogenized gameplay patterns</w:t>
      </w:r>
      <w:r>
        <w:rPr>
          <w:rFonts w:eastAsia="inter" w:cs="inter" w:ascii="inter" w:hAnsi="inter"/>
          <w:color w:val="000000"/>
        </w:rPr>
        <w:t xml:space="preserve"> rather than eliminating entire strategies.</w:t>
      </w:r>
    </w:p>
    <w:p>
      <w:pPr>
        <w:spacing w:line="360" w:before="315" w:after="105" w:lineRule="auto"/>
        <w:ind w:left="-30"/>
        <w:jc w:val="left"/>
      </w:pPr>
      <w:r>
        <w:rPr>
          <w:rFonts w:eastAsia="inter" w:cs="inter" w:ascii="inter" w:hAnsi="inter"/>
          <w:b/>
          <w:color w:val="000000"/>
          <w:sz w:val="24"/>
        </w:rPr>
        <w:t xml:space="preserve">Banning Logic Consistency</w:t>
      </w:r>
    </w:p>
    <w:p>
      <w:pPr>
        <w:spacing w:line="360" w:after="210" w:lineRule="auto"/>
      </w:pPr>
      <w:r>
        <w:rPr>
          <w:rFonts w:eastAsia="inter" w:cs="inter" w:ascii="inter" w:hAnsi="inter"/>
          <w:b/>
          <w:color w:val="000000"/>
        </w:rPr>
        <w:t xml:space="preserve">Ocelot Pride</w:t>
      </w:r>
      <w:r>
        <w:rPr>
          <w:rFonts w:eastAsia="inter" w:cs="inter" w:ascii="inter" w:hAnsi="inter"/>
          <w:color w:val="000000"/>
        </w:rPr>
        <w:t xml:space="preserve"> mirrors previous bans of cards that centralized their archetypes:</w:t>
      </w:r>
    </w:p>
    <w:p>
      <w:pPr>
        <w:numPr>
          <w:ilvl w:val="0"/>
          <w:numId w:val="6"/>
        </w:numPr>
        <w:spacing w:line="360" w:before="105" w:after="105" w:lineRule="auto"/>
      </w:pPr>
      <w:r>
        <w:rPr>
          <w:rFonts w:eastAsia="inter" w:cs="inter" w:ascii="inter" w:hAnsi="inter"/>
          <w:color w:val="000000"/>
          <w:sz w:val="21"/>
        </w:rPr>
        <w:t xml:space="preserve">Similar to Nadu's dominance requiring specific meta adjustments</w:t>
      </w:r>
      <w:bookmarkStart w:id="26" w:name="fnref16"/>
      <w:bookmarkEnd w:id="26"/>
      <w:hyperlink w:anchor="fn16">
        <w:r>
          <w:rPr>
            <w:rFonts w:eastAsia="inter" w:cs="inter" w:ascii="inter" w:hAnsi="inter"/>
            <w:color w:val="#000"/>
            <w:sz w:val="21"/>
            <w:u w:val="single"/>
            <w:vertAlign w:val="superscript"/>
          </w:rPr>
          <w:t xml:space="preserve">[16]</w:t>
        </w:r>
      </w:hyperlink>
    </w:p>
    <w:p>
      <w:pPr>
        <w:numPr>
          <w:ilvl w:val="0"/>
          <w:numId w:val="6"/>
        </w:numPr>
        <w:spacing w:line="360" w:before="105" w:after="105" w:lineRule="auto"/>
      </w:pPr>
      <w:r>
        <w:rPr>
          <w:rFonts w:eastAsia="inter" w:cs="inter" w:ascii="inter" w:hAnsi="inter"/>
          <w:color w:val="000000"/>
          <w:sz w:val="21"/>
        </w:rPr>
        <w:t xml:space="preserve">Parallels Oko's format-warping impact across multiple deck types</w:t>
      </w:r>
      <w:bookmarkStart w:id="27" w:name="fnref9:1"/>
      <w:bookmarkEnd w:id="27"/>
      <w:hyperlink w:anchor="fn9">
        <w:r>
          <w:rPr>
            <w:rFonts w:eastAsia="inter" w:cs="inter" w:ascii="inter" w:hAnsi="inter"/>
            <w:color w:val="#000"/>
            <w:sz w:val="21"/>
            <w:u w:val="single"/>
            <w:vertAlign w:val="superscript"/>
          </w:rPr>
          <w:t xml:space="preserve">[9]</w:t>
        </w:r>
      </w:hyperlink>
    </w:p>
    <w:p>
      <w:pPr>
        <w:spacing w:line="360" w:after="210" w:lineRule="auto"/>
      </w:pPr>
      <w:r>
        <w:rPr>
          <w:rFonts w:eastAsia="inter" w:cs="inter" w:ascii="inter" w:hAnsi="inter"/>
          <w:b/>
          <w:color w:val="000000"/>
        </w:rPr>
        <w:t xml:space="preserve">Blade of the Bloodchief</w:t>
      </w:r>
      <w:r>
        <w:rPr>
          <w:rFonts w:eastAsia="inter" w:cs="inter" w:ascii="inter" w:hAnsi="inter"/>
          <w:color w:val="000000"/>
        </w:rPr>
        <w:t xml:space="preserve"> follows precedent of limiting degenerate combo enablers:</w:t>
      </w:r>
    </w:p>
    <w:p>
      <w:pPr>
        <w:numPr>
          <w:ilvl w:val="0"/>
          <w:numId w:val="7"/>
        </w:numPr>
        <w:spacing w:line="360" w:before="105" w:after="105" w:lineRule="auto"/>
      </w:pPr>
      <w:r>
        <w:rPr>
          <w:rFonts w:eastAsia="inter" w:cs="inter" w:ascii="inter" w:hAnsi="inter"/>
          <w:color w:val="000000"/>
          <w:sz w:val="21"/>
        </w:rPr>
        <w:t xml:space="preserve">Comparable to Mycosynth Lattice's removal due to oppressive interactions</w:t>
      </w:r>
      <w:bookmarkStart w:id="28" w:name="fnref9:2"/>
      <w:bookmarkEnd w:id="28"/>
      <w:hyperlink w:anchor="fn9">
        <w:r>
          <w:rPr>
            <w:rFonts w:eastAsia="inter" w:cs="inter" w:ascii="inter" w:hAnsi="inter"/>
            <w:color w:val="#000"/>
            <w:sz w:val="21"/>
            <w:u w:val="single"/>
            <w:vertAlign w:val="superscript"/>
          </w:rPr>
          <w:t xml:space="preserve">[9]</w:t>
        </w:r>
      </w:hyperlink>
    </w:p>
    <w:p>
      <w:pPr>
        <w:numPr>
          <w:ilvl w:val="0"/>
          <w:numId w:val="7"/>
        </w:numPr>
        <w:spacing w:line="360" w:before="105" w:after="105" w:lineRule="auto"/>
      </w:pPr>
      <w:r>
        <w:rPr>
          <w:rFonts w:eastAsia="inter" w:cs="inter" w:ascii="inter" w:hAnsi="inter"/>
          <w:color w:val="000000"/>
          <w:sz w:val="21"/>
        </w:rPr>
        <w:t xml:space="preserve">Addresses speed and consistency concerns like previous fast combo bans</w:t>
      </w:r>
    </w:p>
    <w:p>
      <w:pPr>
        <w:spacing w:line="360" w:before="315" w:after="105" w:lineRule="auto"/>
        <w:ind w:left="-30"/>
        <w:jc w:val="left"/>
      </w:pPr>
      <w:r>
        <w:rPr>
          <w:rFonts w:eastAsia="inter" w:cs="inter" w:ascii="inter" w:hAnsi="inter"/>
          <w:b/>
          <w:color w:val="000000"/>
          <w:sz w:val="24"/>
        </w:rPr>
        <w:t xml:space="preserve">Unban Rationale</w:t>
      </w:r>
    </w:p>
    <w:p>
      <w:pPr>
        <w:spacing w:line="360" w:after="210" w:lineRule="auto"/>
      </w:pPr>
      <w:r>
        <w:rPr>
          <w:rFonts w:eastAsia="inter" w:cs="inter" w:ascii="inter" w:hAnsi="inter"/>
          <w:color w:val="000000"/>
        </w:rPr>
        <w:t xml:space="preserve">The proposed unbans reflect Modern's evolved power level where previously concerning cards now fit within acceptable bounds. This follows the successful December 2024 unbans of Splinter Twin, Green Sun's Zenith, and Faithless Looting</w:t>
      </w:r>
      <w:bookmarkStart w:id="29" w:name="fnref17"/>
      <w:bookmarkEnd w:id="29"/>
      <w:hyperlink w:anchor="fn17">
        <w:r>
          <w:rPr>
            <w:rFonts w:eastAsia="inter" w:cs="inter" w:ascii="inter" w:hAnsi="inter"/>
            <w:color w:val="#000"/>
            <w:u w:val="single"/>
            <w:vertAlign w:val="superscript"/>
          </w:rPr>
          <w:t xml:space="preserve">[17]</w:t>
        </w:r>
      </w:hyperlink>
      <w:r>
        <w:rPr>
          <w:rFonts w:eastAsia="inter" w:cs="inter" w:ascii="inter" w:hAnsi="inter"/>
          <w:color w:val="000000"/>
        </w:rPr>
        <w:t xml:space="preserve">, which created format excitement without dominance.</w:t>
      </w:r>
    </w:p>
    <w:p>
      <w:pPr>
        <w:spacing w:line="360" w:before="315" w:after="105" w:lineRule="auto"/>
        <w:ind w:left="-30"/>
        <w:jc w:val="left"/>
      </w:pPr>
      <w:r>
        <w:rPr>
          <w:rFonts w:eastAsia="inter" w:cs="inter" w:ascii="inter" w:hAnsi="inter"/>
          <w:b/>
          <w:color w:val="000000"/>
          <w:sz w:val="24"/>
        </w:rPr>
        <w:t xml:space="preserve">Expected Format Impact</w:t>
      </w:r>
    </w:p>
    <w:p>
      <w:pPr>
        <w:spacing w:line="360" w:after="210" w:lineRule="auto"/>
      </w:pPr>
      <w:r>
        <w:rPr>
          <w:rFonts w:eastAsia="inter" w:cs="inter" w:ascii="inter" w:hAnsi="inter"/>
          <w:color w:val="000000"/>
        </w:rPr>
        <w:t xml:space="preserve">These changes would:</w:t>
      </w:r>
    </w:p>
    <w:p>
      <w:pPr>
        <w:numPr>
          <w:ilvl w:val="0"/>
          <w:numId w:val="8"/>
        </w:numPr>
        <w:spacing w:line="360" w:before="105" w:after="105" w:lineRule="auto"/>
      </w:pPr>
      <w:r>
        <w:rPr>
          <w:rFonts w:eastAsia="inter" w:cs="inter" w:ascii="inter" w:hAnsi="inter"/>
          <w:b/>
          <w:color w:val="000000"/>
          <w:sz w:val="21"/>
        </w:rPr>
        <w:t xml:space="preserve">Reduce Boros Energy's representation</w:t>
      </w:r>
      <w:r>
        <w:rPr>
          <w:rFonts w:eastAsia="inter" w:cs="inter" w:ascii="inter" w:hAnsi="inter"/>
          <w:color w:val="000000"/>
          <w:sz w:val="21"/>
        </w:rPr>
        <w:t xml:space="preserve"> to healthier levels while preserving the archetype's viability</w:t>
      </w:r>
    </w:p>
    <w:p>
      <w:pPr>
        <w:numPr>
          <w:ilvl w:val="0"/>
          <w:numId w:val="8"/>
        </w:numPr>
        <w:spacing w:line="360" w:before="105" w:after="105" w:lineRule="auto"/>
      </w:pPr>
      <w:r>
        <w:rPr>
          <w:rFonts w:eastAsia="inter" w:cs="inter" w:ascii="inter" w:hAnsi="inter"/>
          <w:b/>
          <w:color w:val="000000"/>
          <w:sz w:val="21"/>
        </w:rPr>
        <w:t xml:space="preserve">Eliminate non-interactive combo wins</w:t>
      </w:r>
      <w:r>
        <w:rPr>
          <w:rFonts w:eastAsia="inter" w:cs="inter" w:ascii="inter" w:hAnsi="inter"/>
          <w:color w:val="000000"/>
          <w:sz w:val="21"/>
        </w:rPr>
        <w:t xml:space="preserve"> that pressure sideboard construction</w:t>
      </w:r>
    </w:p>
    <w:p>
      <w:pPr>
        <w:numPr>
          <w:ilvl w:val="0"/>
          <w:numId w:val="8"/>
        </w:numPr>
        <w:spacing w:line="360" w:before="105" w:after="105" w:lineRule="auto"/>
      </w:pPr>
      <w:r>
        <w:rPr>
          <w:rFonts w:eastAsia="inter" w:cs="inter" w:ascii="inter" w:hAnsi="inter"/>
          <w:b/>
          <w:color w:val="000000"/>
          <w:sz w:val="21"/>
        </w:rPr>
        <w:t xml:space="preserve">Enable midrange strategies</w:t>
      </w:r>
      <w:r>
        <w:rPr>
          <w:rFonts w:eastAsia="inter" w:cs="inter" w:ascii="inter" w:hAnsi="inter"/>
          <w:color w:val="000000"/>
          <w:sz w:val="21"/>
        </w:rPr>
        <w:t xml:space="preserve"> through Birthing Pod's return</w:t>
      </w:r>
    </w:p>
    <w:p>
      <w:pPr>
        <w:numPr>
          <w:ilvl w:val="0"/>
          <w:numId w:val="8"/>
        </w:numPr>
        <w:spacing w:line="360" w:before="105" w:after="105" w:lineRule="auto"/>
      </w:pPr>
      <w:r>
        <w:rPr>
          <w:rFonts w:eastAsia="inter" w:cs="inter" w:ascii="inter" w:hAnsi="inter"/>
          <w:b/>
          <w:color w:val="000000"/>
          <w:sz w:val="21"/>
        </w:rPr>
        <w:t xml:space="preserve">Promote brewing innovation</w:t>
      </w:r>
      <w:r>
        <w:rPr>
          <w:rFonts w:eastAsia="inter" w:cs="inter" w:ascii="inter" w:hAnsi="inter"/>
          <w:color w:val="000000"/>
          <w:sz w:val="21"/>
        </w:rPr>
        <w:t xml:space="preserve"> with Second Sunrise's creative applications</w:t>
      </w:r>
    </w:p>
    <w:p>
      <w:pPr>
        <w:spacing w:line="360" w:after="210" w:lineRule="auto"/>
      </w:pPr>
      <w:r>
        <w:rPr>
          <w:rFonts w:eastAsia="inter" w:cs="inter" w:ascii="inter" w:hAnsi="inter"/>
          <w:color w:val="000000"/>
        </w:rPr>
        <w:t xml:space="preserve">The result should be a more diverse metagame where </w:t>
      </w:r>
      <w:r>
        <w:rPr>
          <w:rFonts w:eastAsia="inter" w:cs="inter" w:ascii="inter" w:hAnsi="inter"/>
          <w:b/>
          <w:color w:val="000000"/>
        </w:rPr>
        <w:t xml:space="preserve">no single strategy exceeds 8-10% representation</w:t>
      </w:r>
      <w:r>
        <w:rPr>
          <w:rFonts w:eastAsia="inter" w:cs="inter" w:ascii="inter" w:hAnsi="inter"/>
          <w:color w:val="000000"/>
        </w:rPr>
        <w:t xml:space="preserve">, creating the competitive variety essential to Modern's health as a premier competitive format.</w:t>
      </w:r>
    </w:p>
    <w:p>
      <w:pPr>
        <w:spacing w:line="360" w:after="210" w:lineRule="auto"/>
      </w:pPr>
      <w:r>
        <w:rPr>
          <w:rFonts w:eastAsia="inter" w:cs="inter" w:ascii="inter" w:hAnsi="inter"/>
          <w:color w:val="000000"/>
        </w:rPr>
        <w:t xml:space="preserve">This proposal balances immediate meta concerns with long-term format sustainability, maintaining Modern's identity as a diverse, skill-testing format while addressing current problematic concentrations.</w:t>
      </w:r>
    </w:p>
    <w:p>
      <w:pPr>
        <w:spacing w:line="360" w:lineRule="auto"/>
        <w:jc w:val="center"/>
      </w:pPr>
      <w:r>
        <w:rPr>
          <w:rFonts w:eastAsia="inter" w:cs="inter" w:ascii="inter" w:hAnsi="inter"/>
          <w:color w:val="000000"/>
        </w:rPr>
        <w:t xml:space="preserve">⁂</w:t>
      </w:r>
    </w:p>
    <w:p>
      <w:pPr>
        <w:spacing w:line="360" w:before="210" w:after="0" w:lineRule="auto"/>
      </w:pPr>
      <w:r>
        <w:rPr>
          <w:noProof/>
        </w:rPr>
        <w:pict>
          <v:rect alt="" style="width:475.5pt;height:.05pt;mso-width-percent:0;mso-height-percent:0;mso-width-percent:0;mso-height-percent:0" o:hralign="center" o:hrstd="t" o:hr="f">
            <v:stroke filltype="solid" color="#000000" opacity="0" weight="1.0pt"/>
          </v:rect>
        </w:pict>
      </w:r>
    </w:p>
    <w:bookmarkStart w:id="30" w:name="fn1"/>
    <w:bookmarkEnd w:id="30"/>
    <w:p>
      <w:pPr>
        <w:numPr>
          <w:ilvl w:val="0"/>
          <w:numId w:val="10"/>
        </w:numPr>
        <w:spacing w:line="360" w:after="210" w:lineRule="auto"/>
      </w:pPr>
      <w:hyperlink r:id="rId6">
        <w:r>
          <w:rPr>
            <w:rFonts w:eastAsia="inter" w:cs="inter" w:ascii="inter" w:hAnsi="inter"/>
            <w:color w:val="#000"/>
            <w:sz w:val="18"/>
            <w:u w:val="single"/>
          </w:rPr>
          <w:t xml:space="preserve">https://mtgdecks.net/Modern</w:t>
        </w:r>
      </w:hyperlink>
      <w:r>
        <w:rPr>
          <w:rFonts w:eastAsia="inter" w:cs="inter" w:ascii="inter" w:hAnsi="inter"/>
          <w:color w:val="000000"/>
          <w:sz w:val="18"/>
        </w:rPr>
        <w:t xml:space="preserve"> </w:t>
      </w:r>
      <w:r>
        <w:rPr>
          <w:rFonts w:eastAsia="inter" w:cs="inter" w:ascii="inter" w:hAnsi="inter"/>
          <w:color w:val="000000"/>
          <w:sz w:val="18"/>
        </w:rPr>
        <w:t xml:space="preserve"> </w:t>
      </w:r>
    </w:p>
    <w:bookmarkStart w:id="31" w:name="fn2"/>
    <w:bookmarkEnd w:id="31"/>
    <w:p>
      <w:pPr>
        <w:numPr>
          <w:ilvl w:val="0"/>
          <w:numId w:val="10"/>
        </w:numPr>
        <w:spacing w:line="360" w:after="210" w:lineRule="auto"/>
      </w:pPr>
      <w:hyperlink r:id="rId7">
        <w:r>
          <w:rPr>
            <w:rFonts w:eastAsia="inter" w:cs="inter" w:ascii="inter" w:hAnsi="inter"/>
            <w:color w:val="#000"/>
            <w:sz w:val="18"/>
            <w:u w:val="single"/>
          </w:rPr>
          <w:t xml:space="preserve">https://playingmtg.com/modern-meta-tier-list/</w:t>
        </w:r>
      </w:hyperlink>
      <w:r>
        <w:rPr>
          <w:rFonts w:eastAsia="inter" w:cs="inter" w:ascii="inter" w:hAnsi="inter"/>
          <w:color w:val="000000"/>
          <w:sz w:val="18"/>
        </w:rPr>
        <w:t xml:space="preserve"> </w:t>
      </w:r>
      <w:r>
        <w:rPr>
          <w:rFonts w:eastAsia="inter" w:cs="inter" w:ascii="inter" w:hAnsi="inter"/>
          <w:color w:val="000000"/>
          <w:sz w:val="18"/>
        </w:rPr>
        <w:t xml:space="preserve"> </w:t>
      </w:r>
    </w:p>
    <w:bookmarkStart w:id="32" w:name="fn3"/>
    <w:bookmarkEnd w:id="32"/>
    <w:p>
      <w:pPr>
        <w:numPr>
          <w:ilvl w:val="0"/>
          <w:numId w:val="10"/>
        </w:numPr>
        <w:spacing w:line="360" w:after="210" w:lineRule="auto"/>
      </w:pPr>
      <w:hyperlink r:id="rId8">
        <w:r>
          <w:rPr>
            <w:rFonts w:eastAsia="inter" w:cs="inter" w:ascii="inter" w:hAnsi="inter"/>
            <w:color w:val="#000"/>
            <w:sz w:val="18"/>
            <w:u w:val="single"/>
          </w:rPr>
          <w:t xml:space="preserve">https://playingmtg.com/boros-energy-deck-sideboard-guide-modern</w:t>
        </w:r>
      </w:hyperlink>
      <w:r>
        <w:rPr>
          <w:rFonts w:eastAsia="inter" w:cs="inter" w:ascii="inter" w:hAnsi="inter"/>
          <w:color w:val="000000"/>
          <w:sz w:val="18"/>
        </w:rPr>
        <w:t xml:space="preserve"> </w:t>
      </w:r>
      <w:r>
        <w:rPr>
          <w:rFonts w:eastAsia="inter" w:cs="inter" w:ascii="inter" w:hAnsi="inter"/>
          <w:color w:val="000000"/>
          <w:sz w:val="18"/>
        </w:rPr>
        <w:t xml:space="preserve"> </w:t>
      </w:r>
      <w:r>
        <w:rPr>
          <w:rFonts w:eastAsia="inter" w:cs="inter" w:ascii="inter" w:hAnsi="inter"/>
          <w:color w:val="000000"/>
          <w:sz w:val="18"/>
        </w:rPr>
        <w:t xml:space="preserve"> </w:t>
      </w:r>
    </w:p>
    <w:bookmarkStart w:id="33" w:name="fn4"/>
    <w:bookmarkEnd w:id="33"/>
    <w:p>
      <w:pPr>
        <w:numPr>
          <w:ilvl w:val="0"/>
          <w:numId w:val="10"/>
        </w:numPr>
        <w:spacing w:line="360" w:after="210" w:lineRule="auto"/>
      </w:pPr>
      <w:hyperlink r:id="rId9">
        <w:r>
          <w:rPr>
            <w:rFonts w:eastAsia="inter" w:cs="inter" w:ascii="inter" w:hAnsi="inter"/>
            <w:color w:val="#000"/>
            <w:sz w:val="18"/>
            <w:u w:val="single"/>
          </w:rPr>
          <w:t xml:space="preserve">https://mtg.cardsrealm.com/en-ca/articles/modern-boros-energy-2025-deck-tech-sideboard-guide</w:t>
        </w:r>
      </w:hyperlink>
      <w:r>
        <w:rPr>
          <w:rFonts w:eastAsia="inter" w:cs="inter" w:ascii="inter" w:hAnsi="inter"/>
          <w:color w:val="000000"/>
          <w:sz w:val="18"/>
        </w:rPr>
        <w:t xml:space="preserve"> </w:t>
      </w:r>
    </w:p>
    <w:bookmarkStart w:id="34" w:name="fn5"/>
    <w:bookmarkEnd w:id="34"/>
    <w:p>
      <w:pPr>
        <w:numPr>
          <w:ilvl w:val="0"/>
          <w:numId w:val="10"/>
        </w:numPr>
        <w:spacing w:line="360" w:after="210" w:lineRule="auto"/>
      </w:pPr>
      <w:hyperlink r:id="rId10">
        <w:r>
          <w:rPr>
            <w:rFonts w:eastAsia="inter" w:cs="inter" w:ascii="inter" w:hAnsi="inter"/>
            <w:color w:val="#000"/>
            <w:sz w:val="18"/>
            <w:u w:val="single"/>
          </w:rPr>
          <w:t xml:space="preserve">https://magic.wizards.com/en/news/announcements/banned-and-restricted-announcement-march-31-2025</w:t>
        </w:r>
      </w:hyperlink>
      <w:r>
        <w:rPr>
          <w:rFonts w:eastAsia="inter" w:cs="inter" w:ascii="inter" w:hAnsi="inter"/>
          <w:color w:val="000000"/>
          <w:sz w:val="18"/>
        </w:rPr>
        <w:t xml:space="preserve"> </w:t>
      </w:r>
    </w:p>
    <w:bookmarkStart w:id="35" w:name="fn6"/>
    <w:bookmarkEnd w:id="35"/>
    <w:p>
      <w:pPr>
        <w:numPr>
          <w:ilvl w:val="0"/>
          <w:numId w:val="10"/>
        </w:numPr>
        <w:spacing w:line="360" w:after="210" w:lineRule="auto"/>
      </w:pPr>
      <w:hyperlink r:id="rId11">
        <w:r>
          <w:rPr>
            <w:rFonts w:eastAsia="inter" w:cs="inter" w:ascii="inter" w:hAnsi="inter"/>
            <w:color w:val="#000"/>
            <w:sz w:val="18"/>
            <w:u w:val="single"/>
          </w:rPr>
          <w:t xml:space="preserve">https://mtgrocks.com/ocelot-pride-mtg/</w:t>
        </w:r>
      </w:hyperlink>
      <w:r>
        <w:rPr>
          <w:rFonts w:eastAsia="inter" w:cs="inter" w:ascii="inter" w:hAnsi="inter"/>
          <w:color w:val="000000"/>
          <w:sz w:val="18"/>
        </w:rPr>
        <w:t xml:space="preserve"> </w:t>
      </w:r>
      <w:r>
        <w:rPr>
          <w:rFonts w:eastAsia="inter" w:cs="inter" w:ascii="inter" w:hAnsi="inter"/>
          <w:color w:val="000000"/>
          <w:sz w:val="18"/>
        </w:rPr>
        <w:t xml:space="preserve"> </w:t>
      </w:r>
      <w:r>
        <w:rPr>
          <w:rFonts w:eastAsia="inter" w:cs="inter" w:ascii="inter" w:hAnsi="inter"/>
          <w:color w:val="000000"/>
          <w:sz w:val="18"/>
        </w:rPr>
        <w:t xml:space="preserve"> </w:t>
      </w:r>
    </w:p>
    <w:bookmarkStart w:id="36" w:name="fn7"/>
    <w:bookmarkEnd w:id="36"/>
    <w:p>
      <w:pPr>
        <w:numPr>
          <w:ilvl w:val="0"/>
          <w:numId w:val="10"/>
        </w:numPr>
        <w:spacing w:line="360" w:after="210" w:lineRule="auto"/>
      </w:pPr>
      <w:hyperlink r:id="rId12">
        <w:r>
          <w:rPr>
            <w:rFonts w:eastAsia="inter" w:cs="inter" w:ascii="inter" w:hAnsi="inter"/>
            <w:color w:val="#000"/>
            <w:sz w:val="18"/>
            <w:u w:val="single"/>
          </w:rPr>
          <w:t xml:space="preserve">https://www.youtube.com/watch?v=aRv4t3F41Ds</w:t>
        </w:r>
      </w:hyperlink>
      <w:r>
        <w:rPr>
          <w:rFonts w:eastAsia="inter" w:cs="inter" w:ascii="inter" w:hAnsi="inter"/>
          <w:color w:val="000000"/>
          <w:sz w:val="18"/>
        </w:rPr>
        <w:t xml:space="preserve"> </w:t>
      </w:r>
      <w:r>
        <w:rPr>
          <w:rFonts w:eastAsia="inter" w:cs="inter" w:ascii="inter" w:hAnsi="inter"/>
          <w:color w:val="000000"/>
          <w:sz w:val="18"/>
        </w:rPr>
        <w:t xml:space="preserve"> </w:t>
      </w:r>
      <w:r>
        <w:rPr>
          <w:rFonts w:eastAsia="inter" w:cs="inter" w:ascii="inter" w:hAnsi="inter"/>
          <w:color w:val="000000"/>
          <w:sz w:val="18"/>
        </w:rPr>
        <w:t xml:space="preserve"> </w:t>
      </w:r>
    </w:p>
    <w:bookmarkStart w:id="37" w:name="fn8"/>
    <w:bookmarkEnd w:id="37"/>
    <w:p>
      <w:pPr>
        <w:numPr>
          <w:ilvl w:val="0"/>
          <w:numId w:val="10"/>
        </w:numPr>
        <w:spacing w:line="360" w:after="210" w:lineRule="auto"/>
      </w:pPr>
      <w:hyperlink r:id="rId13">
        <w:r>
          <w:rPr>
            <w:rFonts w:eastAsia="inter" w:cs="inter" w:ascii="inter" w:hAnsi="inter"/>
            <w:color w:val="#000"/>
            <w:sz w:val="18"/>
            <w:u w:val="single"/>
          </w:rPr>
          <w:t xml:space="preserve">https://www.wargamer.com/magic-the-gathering/mtg-card-ocelot-pride</w:t>
        </w:r>
      </w:hyperlink>
      <w:r>
        <w:rPr>
          <w:rFonts w:eastAsia="inter" w:cs="inter" w:ascii="inter" w:hAnsi="inter"/>
          <w:color w:val="000000"/>
          <w:sz w:val="18"/>
        </w:rPr>
        <w:t xml:space="preserve"> </w:t>
      </w:r>
    </w:p>
    <w:bookmarkStart w:id="38" w:name="fn9"/>
    <w:bookmarkEnd w:id="38"/>
    <w:p>
      <w:pPr>
        <w:numPr>
          <w:ilvl w:val="0"/>
          <w:numId w:val="10"/>
        </w:numPr>
        <w:spacing w:line="360" w:after="210" w:lineRule="auto"/>
      </w:pPr>
      <w:hyperlink r:id="rId14">
        <w:r>
          <w:rPr>
            <w:rFonts w:eastAsia="inter" w:cs="inter" w:ascii="inter" w:hAnsi="inter"/>
            <w:color w:val="#000"/>
            <w:sz w:val="18"/>
            <w:u w:val="single"/>
          </w:rPr>
          <w:t xml:space="preserve">https://www.techtimes.com/articles/246869/20200114/magic-gathering-bans-powerful-cards-modern.htm</w:t>
        </w:r>
      </w:hyperlink>
      <w:r>
        <w:rPr>
          <w:rFonts w:eastAsia="inter" w:cs="inter" w:ascii="inter" w:hAnsi="inter"/>
          <w:color w:val="000000"/>
          <w:sz w:val="18"/>
        </w:rPr>
        <w:t xml:space="preserve"> </w:t>
      </w:r>
      <w:r>
        <w:rPr>
          <w:rFonts w:eastAsia="inter" w:cs="inter" w:ascii="inter" w:hAnsi="inter"/>
          <w:color w:val="000000"/>
          <w:sz w:val="18"/>
        </w:rPr>
        <w:t xml:space="preserve"> </w:t>
      </w:r>
      <w:r>
        <w:rPr>
          <w:rFonts w:eastAsia="inter" w:cs="inter" w:ascii="inter" w:hAnsi="inter"/>
          <w:color w:val="000000"/>
          <w:sz w:val="18"/>
        </w:rPr>
        <w:t xml:space="preserve"> </w:t>
      </w:r>
    </w:p>
    <w:bookmarkStart w:id="39" w:name="fn10"/>
    <w:bookmarkEnd w:id="39"/>
    <w:p>
      <w:pPr>
        <w:numPr>
          <w:ilvl w:val="0"/>
          <w:numId w:val="10"/>
        </w:numPr>
        <w:spacing w:line="360" w:after="210" w:lineRule="auto"/>
      </w:pPr>
      <w:hyperlink r:id="rId15">
        <w:r>
          <w:rPr>
            <w:rFonts w:eastAsia="inter" w:cs="inter" w:ascii="inter" w:hAnsi="inter"/>
            <w:color w:val="#000"/>
            <w:sz w:val="18"/>
            <w:u w:val="single"/>
          </w:rPr>
          <w:t xml:space="preserve">https://mtgrocks.com/basking-broodscale-combo-modern/</w:t>
        </w:r>
      </w:hyperlink>
      <w:r>
        <w:rPr>
          <w:rFonts w:eastAsia="inter" w:cs="inter" w:ascii="inter" w:hAnsi="inter"/>
          <w:color w:val="000000"/>
          <w:sz w:val="18"/>
        </w:rPr>
        <w:t xml:space="preserve"> </w:t>
      </w:r>
      <w:r>
        <w:rPr>
          <w:rFonts w:eastAsia="inter" w:cs="inter" w:ascii="inter" w:hAnsi="inter"/>
          <w:color w:val="000000"/>
          <w:sz w:val="18"/>
        </w:rPr>
        <w:t xml:space="preserve"> </w:t>
      </w:r>
      <w:r>
        <w:rPr>
          <w:rFonts w:eastAsia="inter" w:cs="inter" w:ascii="inter" w:hAnsi="inter"/>
          <w:color w:val="000000"/>
          <w:sz w:val="18"/>
        </w:rPr>
        <w:t xml:space="preserve"> </w:t>
      </w:r>
    </w:p>
    <w:bookmarkStart w:id="40" w:name="fn11"/>
    <w:bookmarkEnd w:id="40"/>
    <w:p>
      <w:pPr>
        <w:numPr>
          <w:ilvl w:val="0"/>
          <w:numId w:val="10"/>
        </w:numPr>
        <w:spacing w:line="360" w:after="210" w:lineRule="auto"/>
      </w:pPr>
      <w:hyperlink r:id="rId16">
        <w:r>
          <w:rPr>
            <w:rFonts w:eastAsia="inter" w:cs="inter" w:ascii="inter" w:hAnsi="inter"/>
            <w:color w:val="#000"/>
            <w:sz w:val="18"/>
            <w:u w:val="single"/>
          </w:rPr>
          <w:t xml:space="preserve">https://www.youtube.com/watch?v=gxCP8JLn8F8</w:t>
        </w:r>
      </w:hyperlink>
      <w:r>
        <w:rPr>
          <w:rFonts w:eastAsia="inter" w:cs="inter" w:ascii="inter" w:hAnsi="inter"/>
          <w:color w:val="000000"/>
          <w:sz w:val="18"/>
        </w:rPr>
        <w:t xml:space="preserve"> </w:t>
      </w:r>
      <w:r>
        <w:rPr>
          <w:rFonts w:eastAsia="inter" w:cs="inter" w:ascii="inter" w:hAnsi="inter"/>
          <w:color w:val="000000"/>
          <w:sz w:val="18"/>
        </w:rPr>
        <w:t xml:space="preserve"> </w:t>
      </w:r>
    </w:p>
    <w:bookmarkStart w:id="41" w:name="fn12"/>
    <w:bookmarkEnd w:id="41"/>
    <w:p>
      <w:pPr>
        <w:numPr>
          <w:ilvl w:val="0"/>
          <w:numId w:val="10"/>
        </w:numPr>
        <w:spacing w:line="360" w:after="210" w:lineRule="auto"/>
      </w:pPr>
      <w:hyperlink r:id="rId17">
        <w:r>
          <w:rPr>
            <w:rFonts w:eastAsia="inter" w:cs="inter" w:ascii="inter" w:hAnsi="inter"/>
            <w:color w:val="#000"/>
            <w:sz w:val="18"/>
            <w:u w:val="single"/>
          </w:rPr>
          <w:t xml:space="preserve">https://mtgdecks.net/prices/basking-broodscale/combos</w:t>
        </w:r>
      </w:hyperlink>
      <w:r>
        <w:rPr>
          <w:rFonts w:eastAsia="inter" w:cs="inter" w:ascii="inter" w:hAnsi="inter"/>
          <w:color w:val="000000"/>
          <w:sz w:val="18"/>
        </w:rPr>
        <w:t xml:space="preserve"> </w:t>
      </w:r>
    </w:p>
    <w:bookmarkStart w:id="42" w:name="fn13"/>
    <w:bookmarkEnd w:id="42"/>
    <w:p>
      <w:pPr>
        <w:numPr>
          <w:ilvl w:val="0"/>
          <w:numId w:val="10"/>
        </w:numPr>
        <w:spacing w:line="360" w:after="210" w:lineRule="auto"/>
      </w:pPr>
      <w:hyperlink r:id="rId18">
        <w:r>
          <w:rPr>
            <w:rFonts w:eastAsia="inter" w:cs="inter" w:ascii="inter" w:hAnsi="inter"/>
            <w:color w:val="#000"/>
            <w:sz w:val="18"/>
            <w:u w:val="single"/>
          </w:rPr>
          <w:t xml:space="preserve">https://www.youtube.com/watch?v=CqaSXUP18ws</w:t>
        </w:r>
      </w:hyperlink>
      <w:r>
        <w:rPr>
          <w:rFonts w:eastAsia="inter" w:cs="inter" w:ascii="inter" w:hAnsi="inter"/>
          <w:color w:val="000000"/>
          <w:sz w:val="18"/>
        </w:rPr>
        <w:t xml:space="preserve"> </w:t>
      </w:r>
    </w:p>
    <w:bookmarkStart w:id="43" w:name="fn14"/>
    <w:bookmarkEnd w:id="43"/>
    <w:p>
      <w:pPr>
        <w:numPr>
          <w:ilvl w:val="0"/>
          <w:numId w:val="10"/>
        </w:numPr>
        <w:spacing w:line="360" w:after="210" w:lineRule="auto"/>
      </w:pPr>
      <w:hyperlink r:id="rId19">
        <w:r>
          <w:rPr>
            <w:rFonts w:eastAsia="inter" w:cs="inter" w:ascii="inter" w:hAnsi="inter"/>
            <w:color w:val="#000"/>
            <w:sz w:val="18"/>
            <w:u w:val="single"/>
          </w:rPr>
          <w:t xml:space="preserve">https://magic.wizards.com/en/banned-restricted-list</w:t>
        </w:r>
      </w:hyperlink>
      <w:r>
        <w:rPr>
          <w:rFonts w:eastAsia="inter" w:cs="inter" w:ascii="inter" w:hAnsi="inter"/>
          <w:color w:val="000000"/>
          <w:sz w:val="18"/>
        </w:rPr>
        <w:t xml:space="preserve"> </w:t>
      </w:r>
    </w:p>
    <w:bookmarkStart w:id="44" w:name="fn15"/>
    <w:bookmarkEnd w:id="44"/>
    <w:p>
      <w:pPr>
        <w:numPr>
          <w:ilvl w:val="0"/>
          <w:numId w:val="10"/>
        </w:numPr>
        <w:spacing w:line="360" w:after="210" w:lineRule="auto"/>
      </w:pPr>
      <w:hyperlink r:id="rId20">
        <w:r>
          <w:rPr>
            <w:rFonts w:eastAsia="inter" w:cs="inter" w:ascii="inter" w:hAnsi="inter"/>
            <w:color w:val="#000"/>
            <w:sz w:val="18"/>
            <w:u w:val="single"/>
          </w:rPr>
          <w:t xml:space="preserve">https://magic.wizards.com/en/news/announcements/march-11-2024-banned-and-restricted-announcement</w:t>
        </w:r>
      </w:hyperlink>
      <w:r>
        <w:rPr>
          <w:rFonts w:eastAsia="inter" w:cs="inter" w:ascii="inter" w:hAnsi="inter"/>
          <w:color w:val="000000"/>
          <w:sz w:val="18"/>
        </w:rPr>
        <w:t xml:space="preserve"> </w:t>
      </w:r>
    </w:p>
    <w:bookmarkStart w:id="45" w:name="fn16"/>
    <w:bookmarkEnd w:id="45"/>
    <w:p>
      <w:pPr>
        <w:numPr>
          <w:ilvl w:val="0"/>
          <w:numId w:val="10"/>
        </w:numPr>
        <w:spacing w:line="360" w:after="210" w:lineRule="auto"/>
      </w:pPr>
      <w:hyperlink r:id="rId21">
        <w:r>
          <w:rPr>
            <w:rFonts w:eastAsia="inter" w:cs="inter" w:ascii="inter" w:hAnsi="inter"/>
            <w:color w:val="#000"/>
            <w:sz w:val="18"/>
            <w:u w:val="single"/>
          </w:rPr>
          <w:t xml:space="preserve">https://dotesports.com/mtg/news/mtg-banned-restricted-announcement-aug-26-2024</w:t>
        </w:r>
      </w:hyperlink>
      <w:r>
        <w:rPr>
          <w:rFonts w:eastAsia="inter" w:cs="inter" w:ascii="inter" w:hAnsi="inter"/>
          <w:color w:val="000000"/>
          <w:sz w:val="18"/>
        </w:rPr>
        <w:t xml:space="preserve"> </w:t>
      </w:r>
    </w:p>
    <w:bookmarkStart w:id="46" w:name="fn17"/>
    <w:bookmarkEnd w:id="46"/>
    <w:p>
      <w:pPr>
        <w:numPr>
          <w:ilvl w:val="0"/>
          <w:numId w:val="10"/>
        </w:numPr>
        <w:spacing w:line="360" w:after="210" w:lineRule="auto"/>
      </w:pPr>
      <w:hyperlink r:id="rId22">
        <w:r>
          <w:rPr>
            <w:rFonts w:eastAsia="inter" w:cs="inter" w:ascii="inter" w:hAnsi="inter"/>
            <w:color w:val="#000"/>
            <w:sz w:val="18"/>
            <w:u w:val="single"/>
          </w:rPr>
          <w:t xml:space="preserve">https://www.mtggoldfish.com/articles/weekly-update-dec-22-huge-unbans-in-modern</w:t>
        </w:r>
      </w:hyperlink>
      <w:r>
        <w:rPr>
          <w:rFonts w:eastAsia="inter" w:cs="inter" w:ascii="inter" w:hAnsi="inter"/>
          <w:color w:val="000000"/>
          <w:sz w:val="18"/>
        </w:rPr>
        <w:t xml:space="preserve"> </w:t>
      </w:r>
    </w:p>
    <w:sectPr>
      <w:pgSz w:w="12240" w:h="15840" w:orient="portrait"/>
      <w:pgMar w:top="1365" w:right="1365" w:bottom="1365" w:left="1365" w:header="720" w:footer="720" w:gutter="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inter">
    <w:family w:val="auto"/>
    <w:pitch w:val="variable"/>
  </w:font>
</w:fonts>
</file>

<file path=word/numbering.xml><?xml version="1.0" encoding="utf-8"?>
<w:numbering xmlns:w="http://schemas.openxmlformats.org/wordprocessingml/2006/main" xmlns:ve="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ne="http://schemas.microsoft.com/office/word/2006/wordml">
  <w:abstractNum w:abstractNumId="1">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2">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3">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4">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5">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6">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7">
    <w:multiLevelType w:val="hybridMultilevel"/>
    <w:lvl w:ilvl="0">
      <w:start w:val="1"/>
      <w:numFmt w:val="bullet"/>
      <w:lvlText w:val=""/>
      <w:lvlJc w:val="left"/>
      <w:pPr>
        <w:tabs>
          <w:tab w:val="num" w:pos="900"/>
        </w:tabs>
        <w:ind w:left="540" w:hanging="360"/>
      </w:pPr>
      <w:rPr>
        <w:rFonts w:ascii="Symbol" w:hAnsi="Symbol" w:hint="default"/>
      </w:rPr>
    </w:lvl>
  </w:abstractNum>
  <w:abstractNum w:abstractNumId="8">
    <w:multiLevelType w:val="hybridMultilevel"/>
    <w:lvl w:ilvl="0">
      <w:start w:val="1"/>
      <w:numFmt w:val="decimal"/>
      <w:lvlText w:val="%1."/>
      <w:lvlJc w:val="left"/>
      <w:pPr>
        <w:tabs>
          <w:tab w:val="num" w:pos="900"/>
        </w:tabs>
        <w:ind w:left="540" w:hanging="360"/>
      </w:pPr>
    </w:lvl>
  </w:abstractNum>
  <w:abstractNum w:abstractNumId="9">
    <w:multiLevelType w:val="hybridMultilevel"/>
  </w:abstractNum>
  <w:abstractNum w:abstractNumId="10">
    <w:multiLevelType w:val="hybridMultilevel"/>
    <w:lvl w:ilvl="0">
      <w:start w:val="1"/>
      <w:numFmt w:val="decimal"/>
      <w:lvlText w:val="%1."/>
      <w:lvlJc w:val="left"/>
      <w:pPr>
        <w:tabs>
          <w:tab w:val="num" w:pos="900"/>
        </w:tabs>
        <w:ind w:left="540" w:hanging="36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decimalSymbol w:val="."/>
  <w:listSeparator w:val=","/>
</w:settings>
</file>

<file path=word/styles.xml><?xml version="1.0" encoding="utf-8"?>
<w:styles xmlns:w="http://schemas.openxmlformats.org/wordprocessingml/2006/main" xmlns:r="http://schemas.openxmlformats.org/officeDocument/2006/relationships">
  <w:docDefaults>
    <w:rPrDefault>
      <w:rPr>
        <w:rFonts w:ascii="Georgia" w:eastAsiaTheme="minorHAnsi" w:hAnsiTheme="minorHAnsi" w:cstheme="minorBidi"/>
        <w:sz w:val="21"/>
        <w:szCs w:val="22"/>
        <w:lang w:val="en-US" w:eastAsia="en-US" w:bidi="ar-SA"/>
      </w:rPr>
    </w:rPrDefault>
    <w:pPrDefault>
      <w:pPr>
        <w:spacing w:after="120" w:line="240" w:lineRule="atLeast"/>
      </w:pPr>
    </w:pPrDefault>
  </w:docDefaults>
  <w:style w:type="paragraph" w:default="1" w:styleId="Normal">
    <w:name w:val="Normal"/>
    <w:next w:val="Normal"/>
    <w:pPr/>
    <w:rPr>
      <w:rFonts w:ascii="Georgia" w:eastAsiaTheme="minorHAnsi" w:hAnsiTheme="minorHAnsi" w:cstheme="minorBidi"/>
      <w:sz w:val="21"/>
      <w:szCs w:val="22"/>
      <w:lang w:val="en-US" w:eastAsia="en-US" w:bidi="ar-SA"/>
    </w:rPr>
  </w:style>
  <w:style w:type="character" w:customStyle="1" w:styleId="VerbatimChar">
    <w:name w:val="Verbatim Char"/>
    <w:basedOn w:val="BodyTextChar"/>
    <w:rPr>
      <w:rFonts w:ascii="Consolas" w:hAnsi="Consolas"/>
      <w:sz w:val="22"/>
    </w:rPr>
  </w:style>
</w:styles>
</file>

<file path=word/webSettings.xml><?xml version="1.0" encoding="utf-8"?>
<w:webSettings xmlns:w="http://schemas.openxmlformats.org/wordprocessingml/2006/main" xmlns:r="http://schemas.openxmlformats.org/officeDocument/2006/relationships"/>
</file>

<file path=word/_rels/document.xml.rels><?xml version="1.0" encoding="UTF-8" standalone="yes"?><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79b070698a03123306c1f6a3324ce2af95743698.png" TargetMode="Internal"/><Relationship Id="rId6" Type="http://schemas.openxmlformats.org/officeDocument/2006/relationships/hyperlink" Target="https://mtgdecks.net/Modern" TargetMode="External"/><Relationship Id="rId7" Type="http://schemas.openxmlformats.org/officeDocument/2006/relationships/hyperlink" Target="https://playingmtg.com/modern-meta-tier-list/" TargetMode="External"/><Relationship Id="rId8" Type="http://schemas.openxmlformats.org/officeDocument/2006/relationships/hyperlink" Target="https://playingmtg.com/boros-energy-deck-sideboard-guide-modern" TargetMode="External"/><Relationship Id="rId9" Type="http://schemas.openxmlformats.org/officeDocument/2006/relationships/hyperlink" Target="https://mtg.cardsrealm.com/en-ca/articles/modern-boros-energy-2025-deck-tech-sideboard-guide" TargetMode="External"/><Relationship Id="rId10" Type="http://schemas.openxmlformats.org/officeDocument/2006/relationships/hyperlink" Target="https://magic.wizards.com/en/news/announcements/banned-and-restricted-announcement-march-31-2025" TargetMode="External"/><Relationship Id="rId11" Type="http://schemas.openxmlformats.org/officeDocument/2006/relationships/hyperlink" Target="https://mtgrocks.com/ocelot-pride-mtg/" TargetMode="External"/><Relationship Id="rId12" Type="http://schemas.openxmlformats.org/officeDocument/2006/relationships/hyperlink" Target="https://www.youtube.com/watch?v=aRv4t3F41Ds" TargetMode="External"/><Relationship Id="rId13" Type="http://schemas.openxmlformats.org/officeDocument/2006/relationships/hyperlink" Target="https://www.wargamer.com/magic-the-gathering/mtg-card-ocelot-pride" TargetMode="External"/><Relationship Id="rId14" Type="http://schemas.openxmlformats.org/officeDocument/2006/relationships/hyperlink" Target="https://www.techtimes.com/articles/246869/20200114/magic-gathering-bans-powerful-cards-modern.htm" TargetMode="External"/><Relationship Id="rId15" Type="http://schemas.openxmlformats.org/officeDocument/2006/relationships/hyperlink" Target="https://mtgrocks.com/basking-broodscale-combo-modern/" TargetMode="External"/><Relationship Id="rId16" Type="http://schemas.openxmlformats.org/officeDocument/2006/relationships/hyperlink" Target="https://www.youtube.com/watch?v=gxCP8JLn8F8" TargetMode="External"/><Relationship Id="rId17" Type="http://schemas.openxmlformats.org/officeDocument/2006/relationships/hyperlink" Target="https://mtgdecks.net/prices/basking-broodscale/combos" TargetMode="External"/><Relationship Id="rId18" Type="http://schemas.openxmlformats.org/officeDocument/2006/relationships/hyperlink" Target="https://www.youtube.com/watch?v=CqaSXUP18ws" TargetMode="External"/><Relationship Id="rId19" Type="http://schemas.openxmlformats.org/officeDocument/2006/relationships/hyperlink" Target="https://magic.wizards.com/en/banned-restricted-list" TargetMode="External"/><Relationship Id="rId20" Type="http://schemas.openxmlformats.org/officeDocument/2006/relationships/hyperlink" Target="https://magic.wizards.com/en/news/announcements/march-11-2024-banned-and-restricted-announcement" TargetMode="External"/><Relationship Id="rId21" Type="http://schemas.openxmlformats.org/officeDocument/2006/relationships/hyperlink" Target="https://dotesports.com/mtg/news/mtg-banned-restricted-announcement-aug-26-2024" TargetMode="External"/><Relationship Id="rId22" Type="http://schemas.openxmlformats.org/officeDocument/2006/relationships/hyperlink" Target="https://www.mtggoldfish.com/articles/weekly-update-dec-22-huge-unbans-in-modern" TargetMode="External"/></Relationship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html-to-docx</dc:creator>
  <cp:keywords>html-to-docx</cp:keywords>
  <dc:description/>
  <cp:lastModifiedBy>html-to-docx</cp:lastModifiedBy>
  <cp:revision>1</cp:revision>
  <dcterms:created xsi:type="dcterms:W3CDTF">2025-06-27T17:36:21.935Z</dcterms:created>
  <dcterms:modified xsi:type="dcterms:W3CDTF">2025-06-27T17:36:21.935Z</dcterms:modified>
</cp:coreProperties>
</file>