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png" ContentType="image/png"/>
  <Default Extension="svg" ContentType="image/svg+xml"/>
  <Default Extension="xml" ContentType="application/xml"/>
  <Default Extension="jpg" ContentType="application/octet-stream"/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a="http://schemas.openxmlformats.org/drawingml/2006/main" xmlns:cdr="http://schemas.openxmlformats.org/drawingml/2006/chartDrawing" xmlns:o="urn:schemas-microsoft-com:office:office" xmlns:pic="http://schemas.openxmlformats.org/drawingml/2006/picture" xmlns:r="http://schemas.openxmlformats.org/officeDocument/2006/relationships" xmlns:m="http://schemas.openxmlformats.org/officeDocument/2006/math" xmlns:v="urn:schemas-microsoft-com:vml" xmlns:ve="http://schemas.openxmlformats.org/markup-compatibility/2006" xmlns:vt="http://schemas.openxmlformats.org/officeDocument/2006/docPropsVTypes" xmlns:w="http://schemas.openxmlformats.org/wordprocessingml/2006/main" xmlns:w10="urn:schemas-microsoft-com:office:word" xmlns:wp="http://schemas.openxmlformats.org/drawingml/2006/wordprocessingDrawing" xmlns:wne="http://schemas.microsoft.com/office/word/2006/wordml" xmlns:a14="http://schemas.microsoft.com/office/drawing/2010/main" xmlns:asvg="http://schemas.microsoft.com/office/drawing/2016/SVG/main">
  <w:body>
    <w:p>
      <w:pPr>
        <w:spacing w:line="360" w:after="0" w:lineRule="auto"/>
      </w:pPr>
      <w:r>
        <w:rPr>
          <w:rFonts w:eastAsia="inter" w:cs="inter" w:ascii="inter" w:hAnsi="inter"/>
          <w:color w:val="000000"/>
        </w:rPr>
        <w:drawing>
          <wp:inline distB="0" distL="0" distR="0" distT="0">
            <wp:extent cx="2420112" cy="609600"/>
            <wp:effectExtent b="0" l="0" r="0" t="0"/>
            <wp:docPr id="1" name="image-5f55010f8f61fe80e7faa1b2f54fb7343aa54add.png"/>
            <a:graphic>
              <a:graphicData uri="http://schemas.openxmlformats.org/drawingml/2006/picture">
                <pic:pic>
                  <pic:nvPicPr>
                    <pic:cNvPr id="1" name="image-5f55010f8f61fe80e7faa1b2f54fb7343aa54add.png" descr=""/>
                    <pic:cNvPicPr/>
                  </pic:nvPicPr>
                  <pic:blipFill>
                    <a:blip r:embed="rId5" cstate="print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420112" cy="60960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spacing w:line="270" w:before="157.5" w:after="157.5" w:lineRule="auto"/>
        <w:jc w:val="left"/>
      </w:pPr>
      <w:r>
        <w:rPr>
          <w:rFonts w:eastAsia="inter" w:cs="inter" w:ascii="inter" w:hAnsi="inter"/>
          <w:b/>
          <w:color w:val="000000"/>
          <w:sz w:val="39"/>
        </w:rPr>
        <w:t xml:space="preserve">Hasbro Inc. Business State Analysis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Based on recent financial filings and market analysis, Hasbro is experiencing a </w:t>
      </w:r>
      <w:r>
        <w:rPr>
          <w:rFonts w:eastAsia="inter" w:cs="inter" w:ascii="inter" w:hAnsi="inter"/>
          <w:b/>
          <w:color w:val="000000"/>
        </w:rPr>
        <w:t xml:space="preserve">mixed but stabilizing business performance</w:t>
      </w:r>
      <w:r>
        <w:rPr>
          <w:rFonts w:eastAsia="inter" w:cs="inter" w:ascii="inter" w:hAnsi="inter"/>
          <w:color w:val="000000"/>
        </w:rPr>
        <w:t xml:space="preserve"> with clear signs of strategic transformation showing results.</w:t>
      </w:r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Current Financial Performance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Hasbro reported </w:t>
      </w:r>
      <w:r>
        <w:rPr>
          <w:rFonts w:eastAsia="inter" w:cs="inter" w:ascii="inter" w:hAnsi="inter"/>
          <w:b/>
          <w:color w:val="000000"/>
        </w:rPr>
        <w:t xml:space="preserve">challenging but improved Q2 2025 results</w:t>
      </w:r>
      <w:bookmarkStart w:id="0" w:name="fnref1"/>
      <w:bookmarkEnd w:id="0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r>
        <w:rPr>
          <w:rFonts w:eastAsia="inter" w:cs="inter" w:ascii="inter" w:hAnsi="inter"/>
          <w:color w:val="000000"/>
        </w:rPr>
        <w:t xml:space="preserve">. The company's net revenues remained relatively flat at $980.8 million (down 1% year-over-year), but significantly </w:t>
      </w:r>
      <w:r>
        <w:rPr>
          <w:rFonts w:eastAsia="inter" w:cs="inter" w:ascii="inter" w:hAnsi="inter"/>
          <w:b/>
          <w:color w:val="000000"/>
        </w:rPr>
        <w:t xml:space="preserve">beat analyst expectations by 12.14%</w:t>
      </w:r>
      <w:bookmarkStart w:id="1" w:name="fnref2"/>
      <w:bookmarkEnd w:id="1"/>
      <w:hyperlink w:anchor="fn2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[2]</w:t>
        </w:r>
      </w:hyperlink>
      <w:r>
        <w:rPr>
          <w:rFonts w:eastAsia="inter" w:cs="inter" w:ascii="inter" w:hAnsi="inter"/>
          <w:color w:val="000000"/>
        </w:rPr>
        <w:t xml:space="preserve">. However, the company posted a substantial net loss of $855.8 million compared to a $138.5 million profit in Q2 2024</w:t>
      </w:r>
      <w:bookmarkStart w:id="2" w:name="fnref1:1"/>
      <w:bookmarkEnd w:id="2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r>
        <w:rPr>
          <w:rFonts w:eastAsia="inter" w:cs="inter" w:ascii="inter" w:hAnsi="inter"/>
          <w:color w:val="000000"/>
        </w:rPr>
        <w:t xml:space="preserve">.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The massive loss was primarily driven by a </w:t>
      </w:r>
      <w:r>
        <w:rPr>
          <w:rFonts w:eastAsia="inter" w:cs="inter" w:ascii="inter" w:hAnsi="inter"/>
          <w:b/>
          <w:color w:val="000000"/>
        </w:rPr>
        <w:t xml:space="preserve">$1.02 billion non-cash goodwill impairment</w:t>
      </w:r>
      <w:r>
        <w:rPr>
          <w:rFonts w:eastAsia="inter" w:cs="inter" w:ascii="inter" w:hAnsi="inter"/>
          <w:color w:val="000000"/>
        </w:rPr>
        <w:t xml:space="preserve"> in the Consumer Products segment</w:t>
      </w:r>
      <w:bookmarkStart w:id="3" w:name="fnref1:2"/>
      <w:bookmarkEnd w:id="3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bookmarkStart w:id="4" w:name="fnref3"/>
      <w:bookmarkEnd w:id="4"/>
      <w:hyperlink w:anchor="fn3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[3]</w:t>
        </w:r>
      </w:hyperlink>
      <w:r>
        <w:rPr>
          <w:rFonts w:eastAsia="inter" w:cs="inter" w:ascii="inter" w:hAnsi="inter"/>
          <w:color w:val="000000"/>
        </w:rPr>
        <w:t xml:space="preserve">. This impairment reflects management's assessment of tariff impacts and macroeconomic headwinds affecting the toy business. Excluding this one-time charge, Hasbro's operational performance shows improvement with adjusted earnings per share of $1.30, significantly exceeding the expected $0.78</w:t>
      </w:r>
      <w:bookmarkStart w:id="5" w:name="fnref2:1"/>
      <w:bookmarkEnd w:id="5"/>
      <w:hyperlink w:anchor="fn2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[2]</w:t>
        </w:r>
      </w:hyperlink>
      <w:r>
        <w:rPr>
          <w:rFonts w:eastAsia="inter" w:cs="inter" w:ascii="inter" w:hAnsi="inter"/>
          <w:color w:val="000000"/>
        </w:rPr>
        <w:t xml:space="preserve">.</w:t>
      </w:r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Segment Performance</w:t>
      </w:r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Wizards of the Coast &amp; Digital Gaming: The Growth Engine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This segment continues to be Hasbro's </w:t>
      </w:r>
      <w:r>
        <w:rPr>
          <w:rFonts w:eastAsia="inter" w:cs="inter" w:ascii="inter" w:hAnsi="inter"/>
          <w:b/>
          <w:color w:val="000000"/>
        </w:rPr>
        <w:t xml:space="preserve">strongest performer</w:t>
      </w:r>
      <w:r>
        <w:rPr>
          <w:rFonts w:eastAsia="inter" w:cs="inter" w:ascii="inter" w:hAnsi="inter"/>
          <w:color w:val="000000"/>
        </w:rPr>
        <w:t xml:space="preserve">, delivering 16% revenue growth to $522.4 million in Q2 2025</w:t>
      </w:r>
      <w:bookmarkStart w:id="6" w:name="fnref1:3"/>
      <w:bookmarkEnd w:id="6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bookmarkStart w:id="7" w:name="fnref3:1"/>
      <w:bookmarkEnd w:id="7"/>
      <w:hyperlink w:anchor="fn3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[3]</w:t>
        </w:r>
      </w:hyperlink>
      <w:r>
        <w:rPr>
          <w:rFonts w:eastAsia="inter" w:cs="inter" w:ascii="inter" w:hAnsi="inter"/>
          <w:color w:val="000000"/>
        </w:rPr>
        <w:t xml:space="preserve">. The segment maintains an impressive </w:t>
      </w:r>
      <w:r>
        <w:rPr>
          <w:rFonts w:eastAsia="inter" w:cs="inter" w:ascii="inter" w:hAnsi="inter"/>
          <w:b/>
          <w:color w:val="000000"/>
        </w:rPr>
        <w:t xml:space="preserve">46.3% operating margin</w:t>
      </w:r>
      <w:bookmarkStart w:id="8" w:name="fnref3:2"/>
      <w:bookmarkEnd w:id="8"/>
      <w:hyperlink w:anchor="fn3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[3]</w:t>
        </w:r>
      </w:hyperlink>
      <w:r>
        <w:rPr>
          <w:rFonts w:eastAsia="inter" w:cs="inter" w:ascii="inter" w:hAnsi="inter"/>
          <w:color w:val="000000"/>
        </w:rPr>
        <w:t xml:space="preserve"> and is driven by:</w:t>
      </w:r>
    </w:p>
    <w:p>
      <w:pPr>
        <w:numPr>
          <w:ilvl w:val="0"/>
          <w:numId w:val="1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Strong </w:t>
      </w:r>
      <w:r>
        <w:rPr>
          <w:rFonts w:eastAsia="inter" w:cs="inter" w:ascii="inter" w:hAnsi="inter"/>
          <w:b/>
          <w:color w:val="000000"/>
          <w:sz w:val="21"/>
        </w:rPr>
        <w:t xml:space="preserve">Magic: The Gathering</w:t>
      </w:r>
      <w:r>
        <w:rPr>
          <w:rFonts w:eastAsia="inter" w:cs="inter" w:ascii="inter" w:hAnsi="inter"/>
          <w:color w:val="000000"/>
          <w:sz w:val="21"/>
        </w:rPr>
        <w:t xml:space="preserve"> performance with 23% sales increase year-over-year</w:t>
      </w:r>
      <w:bookmarkStart w:id="9" w:name="fnref2:2"/>
      <w:bookmarkEnd w:id="9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1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Growing tabletop gaming revenue of $406.3 million</w:t>
      </w:r>
      <w:bookmarkStart w:id="10" w:name="fnref1:4"/>
      <w:bookmarkEnd w:id="10"/>
      <w:hyperlink w:anchor="fn1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[1]</w:t>
        </w:r>
      </w:hyperlink>
    </w:p>
    <w:p>
      <w:pPr>
        <w:numPr>
          <w:ilvl w:val="0"/>
          <w:numId w:val="1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Success of digital initiatives like Monopoly Go!</w:t>
      </w:r>
      <w:bookmarkStart w:id="11" w:name="fnref3:3"/>
      <w:bookmarkEnd w:id="11"/>
      <w:hyperlink w:anchor="fn3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[3]</w:t>
        </w:r>
      </w:hyperlink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Consumer Products: Under Pressure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This traditional toy segment faces significant challenges with revenues declining 16% to $442.4 million in Q2 2025</w:t>
      </w:r>
      <w:bookmarkStart w:id="12" w:name="fnref1:5"/>
      <w:bookmarkEnd w:id="12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r>
        <w:rPr>
          <w:rFonts w:eastAsia="inter" w:cs="inter" w:ascii="inter" w:hAnsi="inter"/>
          <w:color w:val="000000"/>
        </w:rPr>
        <w:t xml:space="preserve">. The decline affects major brands including:</w:t>
      </w:r>
    </w:p>
    <w:p>
      <w:pPr>
        <w:numPr>
          <w:ilvl w:val="0"/>
          <w:numId w:val="2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NERF, PLAY-DOH, STAR WARS, and MARVEL products</w:t>
      </w:r>
      <w:bookmarkStart w:id="13" w:name="fnref1:6"/>
      <w:bookmarkEnd w:id="13"/>
      <w:hyperlink w:anchor="fn1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[1]</w:t>
        </w:r>
      </w:hyperlink>
    </w:p>
    <w:p>
      <w:pPr>
        <w:numPr>
          <w:ilvl w:val="0"/>
          <w:numId w:val="2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Attributed to broader industry trends and timing of movie/content releases</w:t>
      </w:r>
      <w:bookmarkStart w:id="14" w:name="fnref1:7"/>
      <w:bookmarkEnd w:id="14"/>
      <w:hyperlink w:anchor="fn1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[1]</w:t>
        </w:r>
      </w:hyperlink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Entertainment: Minimal Impact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The Entertainment segment remains small with $16.0 million in Q2 revenue (down 15%)</w:t>
      </w:r>
      <w:bookmarkStart w:id="15" w:name="fnref1:8"/>
      <w:bookmarkEnd w:id="15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r>
        <w:rPr>
          <w:rFonts w:eastAsia="inter" w:cs="inter" w:ascii="inter" w:hAnsi="inter"/>
          <w:color w:val="000000"/>
        </w:rPr>
        <w:t xml:space="preserve">, reflecting the company's strategic shift away from entertainment production following the eOne divestiture.</w:t>
      </w:r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Strategic Transformation Results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Hasbro's multi-year transformation is </w:t>
      </w:r>
      <w:r>
        <w:rPr>
          <w:rFonts w:eastAsia="inter" w:cs="inter" w:ascii="inter" w:hAnsi="inter"/>
          <w:b/>
          <w:color w:val="000000"/>
        </w:rPr>
        <w:t xml:space="preserve">showing tangible results</w:t>
      </w:r>
      <w:bookmarkStart w:id="16" w:name="fnref1:9"/>
      <w:bookmarkEnd w:id="16"/>
      <w:hyperlink w:anchor="fn1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[1]</w:t>
        </w:r>
      </w:hyperlink>
      <w:r>
        <w:rPr>
          <w:rFonts w:eastAsia="inter" w:cs="inter" w:ascii="inter" w:hAnsi="inter"/>
          <w:color w:val="000000"/>
        </w:rPr>
        <w:t xml:space="preserve">:</w:t>
      </w:r>
    </w:p>
    <w:p>
      <w:pPr>
        <w:numPr>
          <w:ilvl w:val="0"/>
          <w:numId w:val="3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Cost savings initiatives</w:t>
      </w:r>
      <w:r>
        <w:rPr>
          <w:rFonts w:eastAsia="inter" w:cs="inter" w:ascii="inter" w:hAnsi="inter"/>
          <w:color w:val="000000"/>
          <w:sz w:val="21"/>
        </w:rPr>
        <w:t xml:space="preserve"> delivered $370 million in gross savings and $227 million in net savings</w:t>
      </w:r>
      <w:bookmarkStart w:id="17" w:name="fnref4"/>
      <w:bookmarkEnd w:id="17"/>
      <w:hyperlink w:anchor="fn4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[4]</w:t>
        </w:r>
      </w:hyperlink>
    </w:p>
    <w:p>
      <w:pPr>
        <w:numPr>
          <w:ilvl w:val="0"/>
          <w:numId w:val="3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Operating margin improvements</w:t>
      </w:r>
      <w:r>
        <w:rPr>
          <w:rFonts w:eastAsia="inter" w:cs="inter" w:ascii="inter" w:hAnsi="inter"/>
          <w:color w:val="000000"/>
          <w:sz w:val="21"/>
        </w:rPr>
        <w:t xml:space="preserve"> with adjusted operating margin reaching 25.2%</w:t>
      </w:r>
      <w:bookmarkStart w:id="18" w:name="fnref2:3"/>
      <w:bookmarkEnd w:id="18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3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Debt reduction</w:t>
      </w:r>
      <w:r>
        <w:rPr>
          <w:rFonts w:eastAsia="inter" w:cs="inter" w:ascii="inter" w:hAnsi="inter"/>
          <w:color w:val="000000"/>
          <w:sz w:val="21"/>
        </w:rPr>
        <w:t xml:space="preserve"> of $83 million while maintaining dividend payments</w:t>
      </w:r>
      <w:bookmarkStart w:id="19" w:name="fnref4:1"/>
      <w:bookmarkEnd w:id="19"/>
      <w:hyperlink w:anchor="fn4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[4]</w:t>
        </w:r>
      </w:hyperlink>
    </w:p>
    <w:p>
      <w:pPr>
        <w:numPr>
          <w:ilvl w:val="0"/>
          <w:numId w:val="3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Supply chain diversification</w:t>
      </w:r>
      <w:r>
        <w:rPr>
          <w:rFonts w:eastAsia="inter" w:cs="inter" w:ascii="inter" w:hAnsi="inter"/>
          <w:color w:val="000000"/>
          <w:sz w:val="21"/>
        </w:rPr>
        <w:t xml:space="preserve"> progressing toward reducing China exposure to under 40% by 2027</w:t>
      </w:r>
      <w:bookmarkStart w:id="20" w:name="fnref2:4"/>
      <w:bookmarkEnd w:id="20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Forward Outlook</w:t>
      </w:r>
    </w:p>
    <w:p>
      <w:pPr>
        <w:spacing w:line="360" w:after="210" w:lineRule="auto"/>
      </w:pPr>
      <w:r>
        <w:rPr>
          <w:rFonts w:eastAsia="inter" w:cs="inter" w:ascii="inter" w:hAnsi="inter"/>
          <w:b/>
          <w:color w:val="000000"/>
        </w:rPr>
        <w:t xml:space="preserve">Management confidence is reflected in raised guidance</w:t>
      </w:r>
      <w:bookmarkStart w:id="21" w:name="fnref5"/>
      <w:bookmarkEnd w:id="21"/>
      <w:hyperlink w:anchor="fn5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[5]</w:t>
        </w:r>
      </w:hyperlink>
      <w:bookmarkStart w:id="22" w:name="fnref3:4"/>
      <w:bookmarkEnd w:id="22"/>
      <w:hyperlink w:anchor="fn3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[3]</w:t>
        </w:r>
      </w:hyperlink>
      <w:r>
        <w:rPr>
          <w:rFonts w:eastAsia="inter" w:cs="inter" w:ascii="inter" w:hAnsi="inter"/>
          <w:color w:val="000000"/>
        </w:rPr>
        <w:t xml:space="preserve">:</w:t>
      </w:r>
    </w:p>
    <w:p>
      <w:pPr>
        <w:numPr>
          <w:ilvl w:val="0"/>
          <w:numId w:val="4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Full-year revenue growth expected in </w:t>
      </w:r>
      <w:r>
        <w:rPr>
          <w:rFonts w:eastAsia="inter" w:cs="inter" w:ascii="inter" w:hAnsi="inter"/>
          <w:b/>
          <w:color w:val="000000"/>
          <w:sz w:val="21"/>
        </w:rPr>
        <w:t xml:space="preserve">mid-single digits</w:t>
      </w:r>
      <w:bookmarkStart w:id="23" w:name="fnref2:5"/>
      <w:bookmarkEnd w:id="23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4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Wizards segment anticipated to grow in the </w:t>
      </w:r>
      <w:r>
        <w:rPr>
          <w:rFonts w:eastAsia="inter" w:cs="inter" w:ascii="inter" w:hAnsi="inter"/>
          <w:b/>
          <w:color w:val="000000"/>
          <w:sz w:val="21"/>
        </w:rPr>
        <w:t xml:space="preserve">high 20% range</w:t>
      </w:r>
      <w:bookmarkStart w:id="24" w:name="fnref2:6"/>
      <w:bookmarkEnd w:id="24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4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Adjusted EBITDA guidance increased to </w:t>
      </w:r>
      <w:r>
        <w:rPr>
          <w:rFonts w:eastAsia="inter" w:cs="inter" w:ascii="inter" w:hAnsi="inter"/>
          <w:b/>
          <w:color w:val="000000"/>
          <w:sz w:val="21"/>
        </w:rPr>
        <w:t xml:space="preserve">$1.170-$1.200 billion</w:t>
      </w:r>
      <w:bookmarkStart w:id="25" w:name="fnref2:7"/>
      <w:bookmarkEnd w:id="25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4"/>
        </w:numPr>
        <w:spacing w:line="360" w:before="105" w:after="105" w:lineRule="auto"/>
      </w:pPr>
      <w:r>
        <w:rPr>
          <w:rFonts w:eastAsia="inter" w:cs="inter" w:ascii="inter" w:hAnsi="inter"/>
          <w:color w:val="000000"/>
          <w:sz w:val="21"/>
        </w:rPr>
        <w:t xml:space="preserve">Medium-term target of mid-single-digit revenue CAGR (2025-2027)</w:t>
      </w:r>
      <w:bookmarkStart w:id="26" w:name="fnref3:5"/>
      <w:bookmarkEnd w:id="26"/>
      <w:hyperlink w:anchor="fn3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[3]</w:t>
        </w:r>
      </w:hyperlink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Market Position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Hasbro currently has a </w:t>
      </w:r>
      <w:r>
        <w:rPr>
          <w:rFonts w:eastAsia="inter" w:cs="inter" w:ascii="inter" w:hAnsi="inter"/>
          <w:b/>
          <w:color w:val="000000"/>
        </w:rPr>
        <w:t xml:space="preserve">market capitalization of $11.11 billion</w:t>
      </w:r>
      <w:r>
        <w:rPr>
          <w:rFonts w:eastAsia="inter" w:cs="inter" w:ascii="inter" w:hAnsi="inter"/>
          <w:color w:val="000000"/>
        </w:rPr>
        <w:t xml:space="preserve"> as of September 2025, representing a 20.71% increase over one year</w:t>
      </w:r>
      <w:bookmarkStart w:id="27" w:name="fnref6"/>
      <w:bookmarkEnd w:id="27"/>
      <w:hyperlink w:anchor="fn6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[6]</w:t>
        </w:r>
      </w:hyperlink>
      <w:r>
        <w:rPr>
          <w:rFonts w:eastAsia="inter" w:cs="inter" w:ascii="inter" w:hAnsi="inter"/>
          <w:color w:val="000000"/>
        </w:rPr>
        <w:t xml:space="preserve">. The stock trades around $79, near its 52-week high</w:t>
      </w:r>
      <w:bookmarkStart w:id="28" w:name="fnref7"/>
      <w:bookmarkEnd w:id="28"/>
      <w:hyperlink w:anchor="fn7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[7]</w:t>
        </w:r>
      </w:hyperlink>
      <w:bookmarkStart w:id="29" w:name="fnref3:6"/>
      <w:bookmarkEnd w:id="29"/>
      <w:hyperlink w:anchor="fn3">
        <w:r>
          <w:rPr>
            <w:rFonts w:eastAsia="inter" w:cs="inter" w:ascii="inter" w:hAnsi="inter"/>
            <w:color w:val="#000"/>
            <w:u w:val="single"/>
            <w:vertAlign w:val="superscript"/>
          </w:rPr>
          <w:t xml:space="preserve">[3]</w:t>
        </w:r>
      </w:hyperlink>
      <w:r>
        <w:rPr>
          <w:rFonts w:eastAsia="inter" w:cs="inter" w:ascii="inter" w:hAnsi="inter"/>
          <w:color w:val="000000"/>
        </w:rPr>
        <w:t xml:space="preserve">.</w:t>
      </w:r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Key Challenges and Risks</w:t>
      </w:r>
    </w:p>
    <w:p>
      <w:pPr>
        <w:numPr>
          <w:ilvl w:val="0"/>
          <w:numId w:val="5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Consumer Products segment decline</w:t>
      </w:r>
      <w:r>
        <w:rPr>
          <w:rFonts w:eastAsia="inter" w:cs="inter" w:ascii="inter" w:hAnsi="inter"/>
          <w:color w:val="000000"/>
          <w:sz w:val="21"/>
        </w:rPr>
        <w:t xml:space="preserve"> expected to continue with 5-8% decline forecast</w:t>
      </w:r>
      <w:bookmarkStart w:id="30" w:name="fnref2:8"/>
      <w:bookmarkEnd w:id="30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5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Tariff uncertainty</w:t>
      </w:r>
      <w:r>
        <w:rPr>
          <w:rFonts w:eastAsia="inter" w:cs="inter" w:ascii="inter" w:hAnsi="inter"/>
          <w:color w:val="000000"/>
          <w:sz w:val="21"/>
        </w:rPr>
        <w:t xml:space="preserve"> with $60 million estimated expense for 2025</w:t>
      </w:r>
      <w:bookmarkStart w:id="31" w:name="fnref1:10"/>
      <w:bookmarkEnd w:id="31"/>
      <w:hyperlink w:anchor="fn1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[1]</w:t>
        </w:r>
      </w:hyperlink>
    </w:p>
    <w:p>
      <w:pPr>
        <w:numPr>
          <w:ilvl w:val="0"/>
          <w:numId w:val="5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Flat toy industry</w:t>
      </w:r>
      <w:r>
        <w:rPr>
          <w:rFonts w:eastAsia="inter" w:cs="inter" w:ascii="inter" w:hAnsi="inter"/>
          <w:color w:val="000000"/>
          <w:sz w:val="21"/>
        </w:rPr>
        <w:t xml:space="preserve"> conditions requiring strategic adaptation</w:t>
      </w:r>
      <w:bookmarkStart w:id="32" w:name="fnref2:9"/>
      <w:bookmarkEnd w:id="32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numPr>
          <w:ilvl w:val="0"/>
          <w:numId w:val="5"/>
        </w:numPr>
        <w:spacing w:line="360" w:before="105" w:after="105" w:lineRule="auto"/>
      </w:pPr>
      <w:r>
        <w:rPr>
          <w:rFonts w:eastAsia="inter" w:cs="inter" w:ascii="inter" w:hAnsi="inter"/>
          <w:b/>
          <w:color w:val="000000"/>
          <w:sz w:val="21"/>
        </w:rPr>
        <w:t xml:space="preserve">Execution risk</w:t>
      </w:r>
      <w:r>
        <w:rPr>
          <w:rFonts w:eastAsia="inter" w:cs="inter" w:ascii="inter" w:hAnsi="inter"/>
          <w:color w:val="000000"/>
          <w:sz w:val="21"/>
        </w:rPr>
        <w:t xml:space="preserve"> on new product launches and brand collaborations</w:t>
      </w:r>
      <w:bookmarkStart w:id="33" w:name="fnref2:10"/>
      <w:bookmarkEnd w:id="33"/>
      <w:hyperlink w:anchor="fn2">
        <w:r>
          <w:rPr>
            <w:rFonts w:eastAsia="inter" w:cs="inter" w:ascii="inter" w:hAnsi="inter"/>
            <w:color w:val="#000"/>
            <w:sz w:val="21"/>
            <w:u w:val="single"/>
            <w:vertAlign w:val="superscript"/>
          </w:rPr>
          <w:t xml:space="preserve">[2]</w:t>
        </w:r>
      </w:hyperlink>
    </w:p>
    <w:p>
      <w:pPr>
        <w:spacing w:line="360" w:before="315" w:after="105" w:lineRule="auto"/>
        <w:ind w:left="-30"/>
        <w:jc w:val="left"/>
      </w:pPr>
      <w:r>
        <w:rPr>
          <w:rFonts w:eastAsia="inter" w:cs="inter" w:ascii="inter" w:hAnsi="inter"/>
          <w:b/>
          <w:color w:val="000000"/>
          <w:sz w:val="24"/>
        </w:rPr>
        <w:t xml:space="preserve">Business State Summary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Hasbro is in a </w:t>
      </w:r>
      <w:r>
        <w:rPr>
          <w:rFonts w:eastAsia="inter" w:cs="inter" w:ascii="inter" w:hAnsi="inter"/>
          <w:b/>
          <w:color w:val="000000"/>
        </w:rPr>
        <w:t xml:space="preserve">transitional but improving state</w:t>
      </w:r>
      <w:r>
        <w:rPr>
          <w:rFonts w:eastAsia="inter" w:cs="inter" w:ascii="inter" w:hAnsi="inter"/>
          <w:color w:val="000000"/>
        </w:rPr>
        <w:t xml:space="preserve">. While facing headwinds in traditional toy segments, the company's strategic focus on high-margin gaming properties like Magic: The Gathering is paying dividends. The successful cost transformation, improved profitability metrics, and raised guidance indicate management's confidence in the business model pivot.</w:t>
      </w:r>
    </w:p>
    <w:p>
      <w:pPr>
        <w:spacing w:line="360" w:after="210" w:lineRule="auto"/>
      </w:pPr>
      <w:r>
        <w:rPr>
          <w:rFonts w:eastAsia="inter" w:cs="inter" w:ascii="inter" w:hAnsi="inter"/>
          <w:color w:val="000000"/>
        </w:rPr>
        <w:t xml:space="preserve">The company appears well-positioned for </w:t>
      </w:r>
      <w:r>
        <w:rPr>
          <w:rFonts w:eastAsia="inter" w:cs="inter" w:ascii="inter" w:hAnsi="inter"/>
          <w:b/>
          <w:color w:val="000000"/>
        </w:rPr>
        <w:t xml:space="preserve">sustainable growth</w:t>
      </w:r>
      <w:r>
        <w:rPr>
          <w:rFonts w:eastAsia="inter" w:cs="inter" w:ascii="inter" w:hAnsi="inter"/>
          <w:color w:val="000000"/>
        </w:rPr>
        <w:t xml:space="preserve">, particularly driven by its gaming portfolio, while managing through the challenges in traditional consumer products through operational excellence and strategic repositioning.</w:t>
      </w:r>
      <w:r>
        <w:rPr>
          <w:rFonts w:eastAsia="inter" w:cs="inter" w:ascii="inter" w:hAnsi="inter"/>
          <w:color w:val="000000"/>
        </w:rPr>
        <w:br w:type="textWrapping"/>
      </w:r>
    </w:p>
    <w:p>
      <w:pPr>
        <w:spacing w:line="360" w:lineRule="auto"/>
        <w:jc w:val="center"/>
      </w:pPr>
      <w:r>
        <w:rPr>
          <w:rFonts w:eastAsia="inter" w:cs="inter" w:ascii="inter" w:hAnsi="inter"/>
          <w:color w:val="000000"/>
        </w:rPr>
        <w:t xml:space="preserve">⁂</w:t>
      </w:r>
    </w:p>
    <w:p>
      <w:pPr>
        <w:spacing w:line="360" w:before="210" w:after="0" w:lineRule="auto"/>
      </w:pPr>
      <w:r>
        <w:rPr>
          <w:noProof/>
        </w:rPr>
        <w:pict>
          <v:rect alt="" style="width:475.5pt;height:.05pt;mso-width-percent:0;mso-height-percent:0;mso-width-percent:0;mso-height-percent:0" o:hralign="center" o:hrstd="t" o:hr="f">
            <v:stroke filltype="solid" color="#000000" opacity="0" weight="1.0pt"/>
          </v:rect>
        </w:pict>
      </w:r>
    </w:p>
    <w:bookmarkStart w:id="34" w:name="fn1"/>
    <w:bookmarkEnd w:id="34"/>
    <w:p>
      <w:pPr>
        <w:numPr>
          <w:ilvl w:val="0"/>
          <w:numId w:val="7"/>
        </w:numPr>
        <w:spacing w:line="360" w:after="210" w:lineRule="auto"/>
      </w:pPr>
      <w:hyperlink r:id="rId6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https://www.sec.gov/Archives/edgar/data/46080/000004608025000128/has-20250629.htm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35" w:name="fn2"/>
    <w:bookmarkEnd w:id="35"/>
    <w:p>
      <w:pPr>
        <w:numPr>
          <w:ilvl w:val="0"/>
          <w:numId w:val="7"/>
        </w:numPr>
        <w:spacing w:line="360" w:after="210" w:lineRule="auto"/>
      </w:pPr>
      <w:hyperlink r:id="rId7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https://www.investing.com/news/transcripts/earnings-call-transcript-hasbro-beats-q2-2025-estimates-but-stock-dips-93CH-4148568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36" w:name="fn3"/>
    <w:bookmarkEnd w:id="36"/>
    <w:p>
      <w:pPr>
        <w:numPr>
          <w:ilvl w:val="0"/>
          <w:numId w:val="7"/>
        </w:numPr>
        <w:spacing w:line="360" w:after="210" w:lineRule="auto"/>
      </w:pPr>
      <w:hyperlink r:id="rId8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https://www.investing.com/news/company-news/hasbro-q2-2025-slides-wizards-segment-shines-as-company-raises-fullyear-guidance-93CH-4147789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37" w:name="fn4"/>
    <w:bookmarkEnd w:id="37"/>
    <w:p>
      <w:pPr>
        <w:numPr>
          <w:ilvl w:val="0"/>
          <w:numId w:val="7"/>
        </w:numPr>
        <w:spacing w:line="360" w:after="210" w:lineRule="auto"/>
      </w:pPr>
      <w:hyperlink r:id="rId9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https://licensinginternational.org/news/hasbro-reports-fourth-quarter-and-full-year-2024-financial-results/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38" w:name="fn5"/>
    <w:bookmarkEnd w:id="38"/>
    <w:p>
      <w:pPr>
        <w:numPr>
          <w:ilvl w:val="0"/>
          <w:numId w:val="7"/>
        </w:numPr>
        <w:spacing w:line="360" w:after="210" w:lineRule="auto"/>
      </w:pPr>
      <w:hyperlink r:id="rId10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https://www.reuters.com/business/retail-consumer/hasbro-lifts-annual-revenue-forecast-strong-demand-magic-gathering-games-2025-07-23/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39" w:name="fn6"/>
    <w:bookmarkEnd w:id="39"/>
    <w:p>
      <w:pPr>
        <w:numPr>
          <w:ilvl w:val="0"/>
          <w:numId w:val="7"/>
        </w:numPr>
        <w:spacing w:line="360" w:after="210" w:lineRule="auto"/>
      </w:pPr>
      <w:hyperlink r:id="rId11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https://stockanalysis.com/stocks/has/market-cap/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0" w:name="fn7"/>
    <w:bookmarkEnd w:id="40"/>
    <w:p>
      <w:pPr>
        <w:numPr>
          <w:ilvl w:val="0"/>
          <w:numId w:val="7"/>
        </w:numPr>
        <w:spacing w:line="360" w:after="210" w:lineRule="auto"/>
      </w:pPr>
      <w:hyperlink r:id="rId12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https://finance.yahoo.com/quote/HAS/history/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1" w:name="fn8"/>
    <w:bookmarkEnd w:id="41"/>
    <w:p>
      <w:pPr>
        <w:numPr>
          <w:ilvl w:val="0"/>
          <w:numId w:val="7"/>
        </w:numPr>
        <w:spacing w:line="360" w:after="210" w:lineRule="auto"/>
      </w:pPr>
      <w:hyperlink r:id="rId13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https://www.sec.gov/Archives/edgar/data/46080/000004608025000096/has-20250521.htm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2" w:name="fn9"/>
    <w:bookmarkEnd w:id="42"/>
    <w:p>
      <w:pPr>
        <w:numPr>
          <w:ilvl w:val="0"/>
          <w:numId w:val="7"/>
        </w:numPr>
        <w:spacing w:line="360" w:after="210" w:lineRule="auto"/>
      </w:pPr>
      <w:hyperlink r:id="rId14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https://finance.yahoo.com/news/hasbro-nasdaq-could-become-multi-180854544.html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3" w:name="fn10"/>
    <w:bookmarkEnd w:id="43"/>
    <w:p>
      <w:pPr>
        <w:numPr>
          <w:ilvl w:val="0"/>
          <w:numId w:val="7"/>
        </w:numPr>
        <w:spacing w:line="360" w:after="210" w:lineRule="auto"/>
      </w:pPr>
      <w:hyperlink r:id="rId15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https://www.tradingview.com/news/tradingview:eb1a43c1c473e:0-hasbro-reports-fourth-quarter-and-full-year-2024-financial-results/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4" w:name="fn11"/>
    <w:bookmarkEnd w:id="44"/>
    <w:p>
      <w:pPr>
        <w:numPr>
          <w:ilvl w:val="0"/>
          <w:numId w:val="7"/>
        </w:numPr>
        <w:spacing w:line="360" w:after="210" w:lineRule="auto"/>
      </w:pPr>
      <w:hyperlink r:id="rId16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https://finance.yahoo.com/news/hasbro-second-quarter-2025-earnings-113900588.html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5" w:name="fn12"/>
    <w:bookmarkEnd w:id="45"/>
    <w:p>
      <w:pPr>
        <w:numPr>
          <w:ilvl w:val="0"/>
          <w:numId w:val="7"/>
        </w:numPr>
        <w:spacing w:line="360" w:after="210" w:lineRule="auto"/>
      </w:pPr>
      <w:hyperlink r:id="rId17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https://www.cnbc.com/2025/07/23/hasbro-has-earnings-q2-2025.html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6" w:name="fn13"/>
    <w:bookmarkEnd w:id="46"/>
    <w:p>
      <w:pPr>
        <w:numPr>
          <w:ilvl w:val="0"/>
          <w:numId w:val="7"/>
        </w:numPr>
        <w:spacing w:line="360" w:after="210" w:lineRule="auto"/>
      </w:pPr>
      <w:hyperlink r:id="rId18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https://www.perplexity.ai/finance/HAS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bookmarkStart w:id="47" w:name="fn14"/>
    <w:bookmarkEnd w:id="47"/>
    <w:p>
      <w:pPr>
        <w:numPr>
          <w:ilvl w:val="0"/>
          <w:numId w:val="7"/>
        </w:numPr>
        <w:spacing w:line="360" w:after="210" w:lineRule="auto"/>
      </w:pPr>
      <w:hyperlink r:id="rId19">
        <w:r>
          <w:rPr>
            <w:rFonts w:eastAsia="inter" w:cs="inter" w:ascii="inter" w:hAnsi="inter"/>
            <w:color w:val="#000"/>
            <w:sz w:val="18"/>
            <w:u w:val="single"/>
          </w:rPr>
          <w:t xml:space="preserve">https://www.sec.gov/Archives/edgar/data/46080/000004608025000119/has-20250723.htm</w:t>
        </w:r>
      </w:hyperlink>
      <w:r>
        <w:rPr>
          <w:rFonts w:eastAsia="inter" w:cs="inter" w:ascii="inter" w:hAnsi="inter"/>
          <w:color w:val="000000"/>
          <w:sz w:val="18"/>
        </w:rPr>
        <w:t xml:space="preserve"> </w:t>
      </w:r>
    </w:p>
    <w:sectPr>
      <w:pgSz w:w="12240" w:h="15840" w:orient="portrait"/>
      <w:pgMar w:top="1365" w:right="1365" w:bottom="1365" w:left="1365" w:header="720" w:footer="72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inter">
    <w:family w:val="auto"/>
    <w:pitch w:val="variable"/>
  </w:font>
</w:fonts>
</file>

<file path=word/numbering.xml><?xml version="1.0" encoding="utf-8"?>
<w:numbering xmlns:w="http://schemas.openxmlformats.org/wordprocessingml/2006/main"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ne="http://schemas.microsoft.com/office/word/2006/wordml">
  <w:abstractNum w:abstractNumId="1">
    <w:multiLevelType w:val="hybridMultilevel"/>
    <w:lvl w:ilvl="0">
      <w:start w:val="1"/>
      <w:numFmt w:val="bullet"/>
      <w:lvlText w:val=""/>
      <w:lvlJc w:val="left"/>
      <w:pPr>
        <w:tabs>
          <w:tab w:val="num" w:pos="900"/>
        </w:tabs>
        <w:ind w:left="540" w:hanging="360"/>
      </w:pPr>
      <w:rPr>
        <w:rFonts w:ascii="Symbol" w:hAnsi="Symbol" w:hint="default"/>
      </w:rPr>
    </w:lvl>
  </w:abstractNum>
  <w:abstractNum w:abstractNumId="2">
    <w:multiLevelType w:val="hybridMultilevel"/>
    <w:lvl w:ilvl="0">
      <w:start w:val="1"/>
      <w:numFmt w:val="bullet"/>
      <w:lvlText w:val=""/>
      <w:lvlJc w:val="left"/>
      <w:pPr>
        <w:tabs>
          <w:tab w:val="num" w:pos="900"/>
        </w:tabs>
        <w:ind w:left="540" w:hanging="360"/>
      </w:pPr>
      <w:rPr>
        <w:rFonts w:ascii="Symbol" w:hAnsi="Symbol" w:hint="default"/>
      </w:rPr>
    </w:lvl>
  </w:abstractNum>
  <w:abstractNum w:abstractNumId="3">
    <w:multiLevelType w:val="hybridMultilevel"/>
    <w:lvl w:ilvl="0">
      <w:start w:val="1"/>
      <w:numFmt w:val="bullet"/>
      <w:lvlText w:val=""/>
      <w:lvlJc w:val="left"/>
      <w:pPr>
        <w:tabs>
          <w:tab w:val="num" w:pos="900"/>
        </w:tabs>
        <w:ind w:left="540" w:hanging="360"/>
      </w:pPr>
      <w:rPr>
        <w:rFonts w:ascii="Symbol" w:hAnsi="Symbol" w:hint="default"/>
      </w:rPr>
    </w:lvl>
  </w:abstractNum>
  <w:abstractNum w:abstractNumId="4">
    <w:multiLevelType w:val="hybridMultilevel"/>
    <w:lvl w:ilvl="0">
      <w:start w:val="1"/>
      <w:numFmt w:val="bullet"/>
      <w:lvlText w:val=""/>
      <w:lvlJc w:val="left"/>
      <w:pPr>
        <w:tabs>
          <w:tab w:val="num" w:pos="900"/>
        </w:tabs>
        <w:ind w:left="540" w:hanging="360"/>
      </w:pPr>
      <w:rPr>
        <w:rFonts w:ascii="Symbol" w:hAnsi="Symbol"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tabs>
          <w:tab w:val="num" w:pos="900"/>
        </w:tabs>
        <w:ind w:left="540" w:hanging="360"/>
      </w:pPr>
    </w:lvl>
  </w:abstractNum>
  <w:abstractNum w:abstractNumId="6">
    <w:multiLevelType w:val="hybridMultilevel"/>
  </w:abstractNum>
  <w:abstractNum w:abstractNumId="7">
    <w:multiLevelType w:val="hybridMultilevel"/>
    <w:lvl w:ilvl="0">
      <w:start w:val="1"/>
      <w:numFmt w:val="decimal"/>
      <w:lvlText w:val="%1."/>
      <w:lvlJc w:val="left"/>
      <w:pPr>
        <w:tabs>
          <w:tab w:val="num" w:pos="900"/>
        </w:tabs>
        <w:ind w:left="5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sl="http://schemas.openxmlformats.org/schemaLibrary/2006/main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ecimalSymbol w:val="."/>
  <w:listSeparator w:val=","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Georgia" w:eastAsiaTheme="minorHAnsi" w:hAnsiTheme="minorHAnsi" w:cstheme="minorBidi"/>
        <w:sz w:val="21"/>
        <w:szCs w:val="22"/>
        <w:lang w:val="en-US" w:eastAsia="en-US" w:bidi="ar-SA"/>
      </w:rPr>
    </w:rPrDefault>
    <w:pPrDefault>
      <w:pPr>
        <w:spacing w:after="120" w:line="240" w:lineRule="atLeast"/>
      </w:pPr>
    </w:pPrDefault>
  </w:docDefaults>
  <w:style w:type="paragraph" w:default="1" w:styleId="Normal">
    <w:name w:val="Normal"/>
    <w:next w:val="Normal"/>
    <w:pPr/>
    <w:rPr>
      <w:rFonts w:ascii="Georgia" w:eastAsiaTheme="minorHAnsi" w:hAnsiTheme="minorHAnsi" w:cstheme="minorBidi"/>
      <w:sz w:val="21"/>
      <w:szCs w:val="22"/>
      <w:lang w:val="en-US" w:eastAsia="en-US" w:bidi="ar-SA"/>
    </w:rPr>
  </w:style>
  <w:style w:type="character" w:customStyle="1" w:styleId="VerbatimChar">
    <w:name w:val="Verbatim Char"/>
    <w:basedOn w:val="BodyTextChar"/>
    <w:rPr>
      <w:rFonts w:ascii="Consolas" w:hAnsi="Consolas"/>
      <w:sz w:val="22"/>
    </w:rPr>
  </w:style>
</w:styles>
</file>

<file path=word/webSettings.xml><?xml version="1.0" encoding="utf-8"?>
<w:webSettings xmlns:w="http://schemas.openxmlformats.org/wordprocessingml/2006/main" xmlns:r="http://schemas.openxmlformats.org/officeDocument/2006/relationships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-5f55010f8f61fe80e7faa1b2f54fb7343aa54add.png" TargetMode="Internal"/><Relationship Id="rId6" Type="http://schemas.openxmlformats.org/officeDocument/2006/relationships/hyperlink" Target="https://www.sec.gov/Archives/edgar/data/46080/000004608025000128/has-20250629.htm" TargetMode="External"/><Relationship Id="rId7" Type="http://schemas.openxmlformats.org/officeDocument/2006/relationships/hyperlink" Target="https://www.investing.com/news/transcripts/earnings-call-transcript-hasbro-beats-q2-2025-estimates-but-stock-dips-93CH-4148568" TargetMode="External"/><Relationship Id="rId8" Type="http://schemas.openxmlformats.org/officeDocument/2006/relationships/hyperlink" Target="https://www.investing.com/news/company-news/hasbro-q2-2025-slides-wizards-segment-shines-as-company-raises-fullyear-guidance-93CH-4147789" TargetMode="External"/><Relationship Id="rId9" Type="http://schemas.openxmlformats.org/officeDocument/2006/relationships/hyperlink" Target="https://licensinginternational.org/news/hasbro-reports-fourth-quarter-and-full-year-2024-financial-results/" TargetMode="External"/><Relationship Id="rId10" Type="http://schemas.openxmlformats.org/officeDocument/2006/relationships/hyperlink" Target="https://www.reuters.com/business/retail-consumer/hasbro-lifts-annual-revenue-forecast-strong-demand-magic-gathering-games-2025-07-23/" TargetMode="External"/><Relationship Id="rId11" Type="http://schemas.openxmlformats.org/officeDocument/2006/relationships/hyperlink" Target="https://stockanalysis.com/stocks/has/market-cap/" TargetMode="External"/><Relationship Id="rId12" Type="http://schemas.openxmlformats.org/officeDocument/2006/relationships/hyperlink" Target="https://finance.yahoo.com/quote/HAS/history/" TargetMode="External"/><Relationship Id="rId13" Type="http://schemas.openxmlformats.org/officeDocument/2006/relationships/hyperlink" Target="https://www.sec.gov/Archives/edgar/data/46080/000004608025000096/has-20250521.htm" TargetMode="External"/><Relationship Id="rId14" Type="http://schemas.openxmlformats.org/officeDocument/2006/relationships/hyperlink" Target="https://finance.yahoo.com/news/hasbro-nasdaq-could-become-multi-180854544.html" TargetMode="External"/><Relationship Id="rId15" Type="http://schemas.openxmlformats.org/officeDocument/2006/relationships/hyperlink" Target="https://www.tradingview.com/news/tradingview:eb1a43c1c473e:0-hasbro-reports-fourth-quarter-and-full-year-2024-financial-results/" TargetMode="External"/><Relationship Id="rId16" Type="http://schemas.openxmlformats.org/officeDocument/2006/relationships/hyperlink" Target="https://finance.yahoo.com/news/hasbro-second-quarter-2025-earnings-113900588.html" TargetMode="External"/><Relationship Id="rId17" Type="http://schemas.openxmlformats.org/officeDocument/2006/relationships/hyperlink" Target="https://www.cnbc.com/2025/07/23/hasbro-has-earnings-q2-2025.html" TargetMode="External"/><Relationship Id="rId18" Type="http://schemas.openxmlformats.org/officeDocument/2006/relationships/hyperlink" Target="https://www.perplexity.ai/finance/HAS" TargetMode="External"/><Relationship Id="rId19" Type="http://schemas.openxmlformats.org/officeDocument/2006/relationships/hyperlink" Target="https://www.sec.gov/Archives/edgar/data/46080/000004608025000119/has-20250723.htm" TargetMode="External"/></Relationship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html-to-docx</dc:creator>
  <cp:keywords>html-to-docx</cp:keywords>
  <dc:description/>
  <cp:lastModifiedBy>html-to-docx</cp:lastModifiedBy>
  <cp:revision>1</cp:revision>
  <dcterms:created xsi:type="dcterms:W3CDTF">2025-09-04T00:15:50.454Z</dcterms:created>
  <dcterms:modified xsi:type="dcterms:W3CDTF">2025-09-04T00:15:50.454Z</dcterms:modified>
</cp:coreProperties>
</file>